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1F" w:rsidRDefault="007807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Статистико-аналитический отчёт </w:t>
      </w:r>
    </w:p>
    <w:p w:rsidR="003D521F" w:rsidRDefault="007807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показателям подпрограммы «Система обеспечения профессионального развития педагогических работников» муниципальной программы «Реализация механизмов управления качеством образования в </w:t>
      </w:r>
      <w:proofErr w:type="spellStart"/>
      <w:r>
        <w:rPr>
          <w:rFonts w:ascii="Times New Roman" w:eastAsia="Times New Roman" w:hAnsi="Times New Roman" w:cs="Times New Roman"/>
          <w:sz w:val="24"/>
          <w:szCs w:val="24"/>
        </w:rPr>
        <w:t>Лысьвенском</w:t>
      </w:r>
      <w:proofErr w:type="spellEnd"/>
      <w:r>
        <w:rPr>
          <w:rFonts w:ascii="Times New Roman" w:eastAsia="Times New Roman" w:hAnsi="Times New Roman" w:cs="Times New Roman"/>
          <w:sz w:val="24"/>
          <w:szCs w:val="24"/>
        </w:rPr>
        <w:t xml:space="preserve"> городском округе»</w:t>
      </w:r>
    </w:p>
    <w:p w:rsidR="003D521F" w:rsidRDefault="003D521F">
      <w:pPr>
        <w:rPr>
          <w:rFonts w:ascii="Times New Roman" w:eastAsia="Times New Roman" w:hAnsi="Times New Roman" w:cs="Times New Roman"/>
          <w:sz w:val="24"/>
          <w:szCs w:val="24"/>
        </w:rPr>
      </w:pPr>
    </w:p>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Учёт педагогических работников, прошедших диагностику профессиональных дефицитов/предметных компетенций</w:t>
      </w:r>
    </w:p>
    <w:p w:rsidR="003D521F" w:rsidRDefault="007807C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6.1.1. Доля педагогов, прошедших диагностику профессиональных дефицитов на федеральном уровне</w:t>
      </w:r>
    </w:p>
    <w:tbl>
      <w:tblPr>
        <w:tblStyle w:val="a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2"/>
        <w:gridCol w:w="2182"/>
        <w:gridCol w:w="1241"/>
      </w:tblGrid>
      <w:tr w:rsidR="003D521F">
        <w:tc>
          <w:tcPr>
            <w:tcW w:w="5922"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tc>
        <w:tc>
          <w:tcPr>
            <w:tcW w:w="2182"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c>
          <w:tcPr>
            <w:tcW w:w="1241"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3D521F">
        <w:tc>
          <w:tcPr>
            <w:tcW w:w="5922"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прошедших диагностику профессиональных дефицитов на федеральном уровне, чел.</w:t>
            </w:r>
          </w:p>
        </w:tc>
        <w:tc>
          <w:tcPr>
            <w:tcW w:w="2182" w:type="dxa"/>
            <w:vMerge w:val="restart"/>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ЛГО на участие педагогов в диагностике профессиональных дефицитов была отклонена</w:t>
            </w:r>
          </w:p>
        </w:tc>
        <w:tc>
          <w:tcPr>
            <w:tcW w:w="1241"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D521F">
        <w:tc>
          <w:tcPr>
            <w:tcW w:w="5922"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педагогических работников в соответствии с данными статистического отчёта ОО, чел.</w:t>
            </w:r>
          </w:p>
        </w:tc>
        <w:tc>
          <w:tcPr>
            <w:tcW w:w="2182" w:type="dxa"/>
            <w:vMerge/>
            <w:vAlign w:val="center"/>
          </w:tcPr>
          <w:p w:rsidR="003D521F" w:rsidRDefault="003D52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1"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942</w:t>
            </w:r>
          </w:p>
        </w:tc>
      </w:tr>
      <w:tr w:rsidR="003D521F">
        <w:tc>
          <w:tcPr>
            <w:tcW w:w="5922"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педагогов, прошедших диагностику профессиональных дефицитов на федеральном уровне, %</w:t>
            </w:r>
          </w:p>
        </w:tc>
        <w:tc>
          <w:tcPr>
            <w:tcW w:w="2182" w:type="dxa"/>
            <w:vMerge/>
            <w:vAlign w:val="center"/>
          </w:tcPr>
          <w:p w:rsidR="003D521F" w:rsidRDefault="003D52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1" w:type="dxa"/>
            <w:vAlign w:val="center"/>
          </w:tcPr>
          <w:p w:rsidR="003D521F" w:rsidRDefault="007807C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3D521F" w:rsidRDefault="003D521F">
      <w:pPr>
        <w:jc w:val="center"/>
        <w:rPr>
          <w:rFonts w:ascii="Times New Roman" w:eastAsia="Times New Roman" w:hAnsi="Times New Roman" w:cs="Times New Roman"/>
          <w:sz w:val="24"/>
          <w:szCs w:val="24"/>
        </w:rPr>
      </w:pPr>
    </w:p>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(в разрезе учебных предметов), прошедших диагностику профессиональных дефицитов на федеральном уровне за 2021 год, чел</w:t>
      </w:r>
    </w:p>
    <w:tbl>
      <w:tblPr>
        <w:tblStyle w:val="a8"/>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6"/>
        <w:gridCol w:w="768"/>
        <w:gridCol w:w="768"/>
        <w:gridCol w:w="768"/>
        <w:gridCol w:w="768"/>
        <w:gridCol w:w="768"/>
        <w:gridCol w:w="768"/>
        <w:gridCol w:w="768"/>
        <w:gridCol w:w="768"/>
        <w:gridCol w:w="768"/>
      </w:tblGrid>
      <w:tr w:rsidR="003D521F" w:rsidTr="005B7355">
        <w:trPr>
          <w:cantSplit/>
          <w:trHeight w:val="2366"/>
        </w:trPr>
        <w:tc>
          <w:tcPr>
            <w:tcW w:w="169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w:t>
            </w:r>
          </w:p>
        </w:tc>
        <w:tc>
          <w:tcPr>
            <w:tcW w:w="736" w:type="dxa"/>
            <w:textDirection w:val="btLr"/>
            <w:vAlign w:val="center"/>
          </w:tcPr>
          <w:p w:rsidR="003D521F" w:rsidRDefault="007807CB">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участников</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768" w:type="dxa"/>
            <w:textDirection w:val="btLr"/>
            <w:vAlign w:val="center"/>
          </w:tcPr>
          <w:p w:rsidR="003D521F" w:rsidRDefault="007807C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r>
      <w:tr w:rsidR="003D521F" w:rsidTr="005B7355">
        <w:trPr>
          <w:trHeight w:val="828"/>
        </w:trPr>
        <w:tc>
          <w:tcPr>
            <w:tcW w:w="169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«Лицей «</w:t>
            </w:r>
            <w:proofErr w:type="spellStart"/>
            <w:r>
              <w:rPr>
                <w:rFonts w:ascii="Times New Roman" w:eastAsia="Times New Roman" w:hAnsi="Times New Roman" w:cs="Times New Roman"/>
                <w:sz w:val="24"/>
                <w:szCs w:val="24"/>
              </w:rPr>
              <w:t>ВЕКТОРиЯ</w:t>
            </w:r>
            <w:proofErr w:type="spellEnd"/>
            <w:r>
              <w:rPr>
                <w:rFonts w:ascii="Times New Roman" w:eastAsia="Times New Roman" w:hAnsi="Times New Roman" w:cs="Times New Roman"/>
                <w:sz w:val="24"/>
                <w:szCs w:val="24"/>
              </w:rPr>
              <w:t>»</w:t>
            </w:r>
          </w:p>
        </w:tc>
        <w:tc>
          <w:tcPr>
            <w:tcW w:w="73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521F" w:rsidTr="005B7355">
        <w:trPr>
          <w:trHeight w:val="828"/>
        </w:trPr>
        <w:tc>
          <w:tcPr>
            <w:tcW w:w="169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2 с УИОП»</w:t>
            </w:r>
          </w:p>
        </w:tc>
        <w:tc>
          <w:tcPr>
            <w:tcW w:w="73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D521F" w:rsidTr="005B7355">
        <w:trPr>
          <w:trHeight w:val="828"/>
        </w:trPr>
        <w:tc>
          <w:tcPr>
            <w:tcW w:w="169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«СОШ № 3»</w:t>
            </w:r>
          </w:p>
        </w:tc>
        <w:tc>
          <w:tcPr>
            <w:tcW w:w="73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D521F" w:rsidTr="005B7355">
        <w:trPr>
          <w:trHeight w:val="828"/>
        </w:trPr>
        <w:tc>
          <w:tcPr>
            <w:tcW w:w="169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16 с УИОП»</w:t>
            </w:r>
          </w:p>
        </w:tc>
        <w:tc>
          <w:tcPr>
            <w:tcW w:w="736"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3D521F" w:rsidRDefault="00780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D521F" w:rsidTr="005B7355">
        <w:trPr>
          <w:trHeight w:val="828"/>
        </w:trPr>
        <w:tc>
          <w:tcPr>
            <w:tcW w:w="1696"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736"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68" w:type="dxa"/>
            <w:vAlign w:val="center"/>
          </w:tcPr>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3D521F" w:rsidRDefault="007807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Выводы: </w:t>
      </w:r>
    </w:p>
    <w:p w:rsidR="003D521F" w:rsidRDefault="007807CB">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диагностику профессиональных дефицитов на федеральном уровне были вовлечены 38 учителей-предметников из четырёх образовательных организаций ЛГО (МАОУ «Лицей «</w:t>
      </w:r>
      <w:proofErr w:type="spellStart"/>
      <w:r>
        <w:rPr>
          <w:rFonts w:ascii="Times New Roman" w:eastAsia="Times New Roman" w:hAnsi="Times New Roman" w:cs="Times New Roman"/>
          <w:sz w:val="24"/>
          <w:szCs w:val="24"/>
        </w:rPr>
        <w:t>ВЕКТОРиЯ</w:t>
      </w:r>
      <w:proofErr w:type="spellEnd"/>
      <w:r>
        <w:rPr>
          <w:rFonts w:ascii="Times New Roman" w:eastAsia="Times New Roman" w:hAnsi="Times New Roman" w:cs="Times New Roman"/>
          <w:sz w:val="24"/>
          <w:szCs w:val="24"/>
        </w:rPr>
        <w:t>», МБОУ «СОШ № 2 с УИОП», МАОУ «СОШ № 3», МБОУ «СОШ № 16 с УИОП»). По результатам проведённой диагностики три учителя ЛГО (предметы: русский язык, литература, математика) были рекомендованы для включения в состав методического актива краевой системы образования.</w:t>
      </w:r>
    </w:p>
    <w:p w:rsidR="003D521F" w:rsidRDefault="007807CB">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Плановое значение по данному показателю (5</w:t>
      </w:r>
      <w:r w:rsidR="005B7355">
        <w:rPr>
          <w:rFonts w:ascii="Times New Roman" w:eastAsia="Times New Roman" w:hAnsi="Times New Roman" w:cs="Times New Roman"/>
          <w:sz w:val="24"/>
          <w:szCs w:val="24"/>
        </w:rPr>
        <w:t>%) не достигнуто и составляет 4</w:t>
      </w:r>
      <w:r>
        <w:rPr>
          <w:rFonts w:ascii="Times New Roman" w:eastAsia="Times New Roman" w:hAnsi="Times New Roman" w:cs="Times New Roman"/>
          <w:sz w:val="24"/>
          <w:szCs w:val="24"/>
        </w:rPr>
        <w:t>%, Причина: количество участников диагностики было ограничено квотой.</w:t>
      </w:r>
    </w:p>
    <w:p w:rsidR="003D521F" w:rsidRDefault="003D521F">
      <w:pPr>
        <w:spacing w:after="0"/>
        <w:jc w:val="both"/>
        <w:rPr>
          <w:rFonts w:ascii="Times New Roman" w:eastAsia="Times New Roman" w:hAnsi="Times New Roman" w:cs="Times New Roman"/>
          <w:sz w:val="24"/>
          <w:szCs w:val="24"/>
        </w:rPr>
      </w:pPr>
    </w:p>
    <w:p w:rsidR="003D521F" w:rsidRDefault="007807C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6.1.2. Доля педагогов, принявших участие в региональных оценочных мероприятиях, направленных на выявление профессиональных дефицито</w:t>
      </w:r>
      <w:r w:rsidR="005B7355">
        <w:rPr>
          <w:rFonts w:ascii="Times New Roman" w:eastAsia="Times New Roman" w:hAnsi="Times New Roman" w:cs="Times New Roman"/>
          <w:sz w:val="24"/>
          <w:szCs w:val="24"/>
          <w:u w:val="single"/>
        </w:rPr>
        <w:t>в у педагогических работников</w:t>
      </w:r>
    </w:p>
    <w:p w:rsidR="003D521F" w:rsidRDefault="007807CB">
      <w:pPr>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административно-управленческие команды (руководители и заместители руководителя) всех школ ЛГО прошли диагностику профессиональных дефицитов и профессионального уровня в региональном Центре оценки профессионального мастерства и квалификации педагогов (ЦОПМКП). Всего 15 человек, что составляет 25% от общего количества административно-управленческого состава ОО ЛГО.</w:t>
      </w:r>
    </w:p>
    <w:p w:rsidR="003D521F" w:rsidRDefault="007807CB">
      <w:pPr>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Лысьвенского городского округа в 2021 году не принимали участие в региональных оценочных мероприятиях, направленных на выявление профессиональных дефицитов педагогических работников в ЦОПМКП, т.к. диагностические материалы для данной категории находятся в стадии разработки и апробации.</w:t>
      </w:r>
    </w:p>
    <w:p w:rsidR="003D521F" w:rsidRDefault="003D521F">
      <w:pPr>
        <w:rPr>
          <w:rFonts w:ascii="Times New Roman" w:eastAsia="Times New Roman" w:hAnsi="Times New Roman" w:cs="Times New Roman"/>
          <w:sz w:val="24"/>
          <w:szCs w:val="24"/>
        </w:rPr>
      </w:pPr>
    </w:p>
    <w:p w:rsidR="003D521F" w:rsidRDefault="003D521F">
      <w:pPr>
        <w:rPr>
          <w:rFonts w:ascii="Times New Roman" w:eastAsia="Times New Roman" w:hAnsi="Times New Roman" w:cs="Times New Roman"/>
          <w:sz w:val="24"/>
          <w:szCs w:val="24"/>
        </w:rPr>
      </w:pPr>
    </w:p>
    <w:p w:rsidR="003D521F" w:rsidRDefault="007807CB">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6.2 По повышению профессионального мастерства педагогических работников и управленческих кадров</w:t>
      </w:r>
    </w:p>
    <w:p w:rsidR="003D521F" w:rsidRDefault="007807CB">
      <w:pPr>
        <w:tabs>
          <w:tab w:val="left" w:pos="3165"/>
        </w:tabs>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6.2.1. Доля педагогических и руководящих работников, для которых разработан ИОМ на региональном уровне в Центре непрерывного повышения профессионального мастерства педаго</w:t>
      </w:r>
      <w:r w:rsidR="005B7355">
        <w:rPr>
          <w:rFonts w:ascii="Times New Roman" w:eastAsia="Times New Roman" w:hAnsi="Times New Roman" w:cs="Times New Roman"/>
          <w:sz w:val="24"/>
          <w:szCs w:val="24"/>
          <w:u w:val="single"/>
        </w:rPr>
        <w:t>гических работников (ЦНППМПР)</w:t>
      </w:r>
    </w:p>
    <w:tbl>
      <w:tblPr>
        <w:tblStyle w:val="a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9"/>
      </w:tblGrid>
      <w:tr w:rsidR="003D521F">
        <w:trPr>
          <w:trHeight w:val="571"/>
        </w:trPr>
        <w:tc>
          <w:tcPr>
            <w:tcW w:w="6232" w:type="dxa"/>
            <w:vAlign w:val="center"/>
          </w:tcPr>
          <w:p w:rsidR="003D521F" w:rsidRDefault="007807CB">
            <w:pPr>
              <w:tabs>
                <w:tab w:val="left" w:pos="316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Отчётный период</w:t>
            </w:r>
          </w:p>
        </w:tc>
        <w:tc>
          <w:tcPr>
            <w:tcW w:w="1560" w:type="dxa"/>
            <w:vAlign w:val="center"/>
          </w:tcPr>
          <w:p w:rsidR="003D521F" w:rsidRDefault="007807CB">
            <w:pPr>
              <w:tabs>
                <w:tab w:val="left" w:pos="316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559" w:type="dxa"/>
            <w:vAlign w:val="center"/>
          </w:tcPr>
          <w:p w:rsidR="003D521F" w:rsidRDefault="007807CB">
            <w:pPr>
              <w:tabs>
                <w:tab w:val="left" w:pos="316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3D521F">
        <w:trPr>
          <w:trHeight w:val="1426"/>
        </w:trPr>
        <w:tc>
          <w:tcPr>
            <w:tcW w:w="6232"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педагогических и руководящих работников, для которых разработан ИОМ на региональном уровне в Центре непрерывного повышения профессионального мастерства педагогических работников (ЦНППМПР), чел.</w:t>
            </w:r>
          </w:p>
        </w:tc>
        <w:tc>
          <w:tcPr>
            <w:tcW w:w="1560"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559"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3D521F">
        <w:trPr>
          <w:trHeight w:val="1426"/>
        </w:trPr>
        <w:tc>
          <w:tcPr>
            <w:tcW w:w="6232"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педагогических и руководящих работников, для которых разработан ИОМ на региональном уровне в Центре непрерывного повышения профессионального мастерства педагогических работников (ЦНППМПР), %</w:t>
            </w:r>
          </w:p>
        </w:tc>
        <w:tc>
          <w:tcPr>
            <w:tcW w:w="1560"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59"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15%)</w:t>
            </w:r>
          </w:p>
        </w:tc>
      </w:tr>
    </w:tbl>
    <w:p w:rsidR="003D521F" w:rsidRDefault="007807CB">
      <w:pPr>
        <w:tabs>
          <w:tab w:val="left" w:pos="3165"/>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национальной системы профессионального роста педагогических работников Министерством образования и науки Пермского края совместно с Институтом развития образования с 2020 года формируется система научно-методического сопровождения и обеспечения профессионального развития педагогических работников Пермского края.</w:t>
      </w:r>
    </w:p>
    <w:p w:rsidR="003D521F" w:rsidRDefault="007807CB" w:rsidP="005B7355">
      <w:pPr>
        <w:spacing w:after="0" w:line="276" w:lineRule="auto"/>
        <w:ind w:firstLine="851"/>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lastRenderedPageBreak/>
        <w:t>Данная система представляет собой последовательность таких мер, как: выявление затруднений и дефицитов в деятельности педагогов, построение соответствующих индивидуальных образовательных маршрутов, оказание методической поддержки педагогам в образовательных организациях и в муниципалитетах, организация непрерывного персонифицированного дополнительного профессионального образования и т.п.</w:t>
      </w:r>
    </w:p>
    <w:p w:rsidR="003D521F" w:rsidRDefault="007807CB" w:rsidP="005B7355">
      <w:pPr>
        <w:tabs>
          <w:tab w:val="left" w:pos="3165"/>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августе 2020 года между ГАУ ДПО «ИРО ПК» и управлением образования ЛГО было заключено Соглашение о реализации мероприятий регионального проекта «Учитель будущего» на территории ЛГО. Участниками регионального проекта стали шесть школ из семи (86%) и семь детских садов ЛГО (100%).</w:t>
      </w:r>
    </w:p>
    <w:p w:rsidR="003D521F" w:rsidRDefault="007807CB" w:rsidP="005B7355">
      <w:pPr>
        <w:tabs>
          <w:tab w:val="left" w:pos="3165"/>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2020 и 2021 годах </w:t>
      </w:r>
      <w:r>
        <w:rPr>
          <w:rFonts w:ascii="Times New Roman" w:eastAsia="Times New Roman" w:hAnsi="Times New Roman" w:cs="Times New Roman"/>
          <w:sz w:val="24"/>
          <w:szCs w:val="24"/>
        </w:rPr>
        <w:t>Центром непрерывного повышения профессионального мастерства педагогических работников (ЦНППМПР)</w:t>
      </w:r>
      <w:r>
        <w:rPr>
          <w:rFonts w:ascii="Times New Roman" w:eastAsia="Times New Roman" w:hAnsi="Times New Roman" w:cs="Times New Roman"/>
          <w:color w:val="000000"/>
          <w:sz w:val="24"/>
          <w:szCs w:val="24"/>
        </w:rPr>
        <w:t xml:space="preserve"> для управленческих команд и педагогических работников Лысьвенского городского округа, участвующих в проекте, были проведены курсы повышения квалификации:</w:t>
      </w:r>
    </w:p>
    <w:p w:rsidR="003D521F" w:rsidRDefault="007807CB">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КПК «Управление профессиональным ростом педагога в образовательной организации» (24 часа) для административно-управленческих команд ОО</w:t>
      </w:r>
    </w:p>
    <w:p w:rsidR="003D521F" w:rsidRDefault="007807CB">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КПК «Проектирование индивидуального образовательного маршрута педагога в информационно-образовательном пространстве края» (24 часа) для учителей, воспитателей и специалистов ДОО.</w:t>
      </w:r>
    </w:p>
    <w:p w:rsidR="003D521F" w:rsidRDefault="007807CB" w:rsidP="005B7355">
      <w:pPr>
        <w:tabs>
          <w:tab w:val="left" w:pos="3165"/>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Результатом участия в курсах стали разработанные на основе выявленных профессиональных затруднений и дефицитов </w:t>
      </w:r>
      <w:r>
        <w:rPr>
          <w:rFonts w:ascii="Times New Roman" w:eastAsia="Times New Roman" w:hAnsi="Times New Roman" w:cs="Times New Roman"/>
          <w:color w:val="000000"/>
          <w:sz w:val="24"/>
          <w:szCs w:val="24"/>
          <w:u w:val="single"/>
        </w:rPr>
        <w:t>индивидуальные образовательные маршруты</w:t>
      </w:r>
      <w:r>
        <w:rPr>
          <w:rFonts w:ascii="Times New Roman" w:eastAsia="Times New Roman" w:hAnsi="Times New Roman" w:cs="Times New Roman"/>
          <w:color w:val="000000"/>
          <w:sz w:val="24"/>
          <w:szCs w:val="24"/>
        </w:rPr>
        <w:t xml:space="preserve"> педагогов и руководителей (участников КПК).</w:t>
      </w:r>
    </w:p>
    <w:tbl>
      <w:tblPr>
        <w:tblStyle w:val="aa"/>
        <w:tblW w:w="9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2836"/>
        <w:gridCol w:w="1824"/>
        <w:gridCol w:w="3857"/>
      </w:tblGrid>
      <w:tr w:rsidR="003D521F">
        <w:tc>
          <w:tcPr>
            <w:tcW w:w="987"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c>
          <w:tcPr>
            <w:tcW w:w="2836"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Административно-управленческие команды</w:t>
            </w:r>
          </w:p>
        </w:tc>
        <w:tc>
          <w:tcPr>
            <w:tcW w:w="5681" w:type="dxa"/>
            <w:gridSpan w:val="2"/>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w:t>
            </w:r>
          </w:p>
        </w:tc>
      </w:tr>
      <w:tr w:rsidR="003D521F">
        <w:trPr>
          <w:trHeight w:val="1729"/>
        </w:trPr>
        <w:tc>
          <w:tcPr>
            <w:tcW w:w="987"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Школы</w:t>
            </w:r>
          </w:p>
          <w:p w:rsidR="003D521F" w:rsidRDefault="003D521F">
            <w:pPr>
              <w:spacing w:line="276" w:lineRule="auto"/>
              <w:rPr>
                <w:rFonts w:ascii="Times New Roman" w:eastAsia="Times New Roman" w:hAnsi="Times New Roman" w:cs="Times New Roman"/>
                <w:sz w:val="24"/>
                <w:szCs w:val="24"/>
              </w:rPr>
            </w:pPr>
          </w:p>
        </w:tc>
        <w:tc>
          <w:tcPr>
            <w:tcW w:w="2836" w:type="dxa"/>
            <w:vAlign w:val="center"/>
          </w:tcPr>
          <w:p w:rsidR="003D521F" w:rsidRDefault="007807C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команд (17 человек): </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руководителей – 6, заместителей руководителя – 7, учителя (отв. за МР) - 4</w:t>
            </w:r>
          </w:p>
        </w:tc>
        <w:tc>
          <w:tcPr>
            <w:tcW w:w="1824"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237 учителей-предметников</w:t>
            </w:r>
            <w:r>
              <w:rPr>
                <w:rFonts w:ascii="Times New Roman" w:eastAsia="Times New Roman" w:hAnsi="Times New Roman" w:cs="Times New Roman"/>
                <w:sz w:val="24"/>
                <w:szCs w:val="24"/>
              </w:rPr>
              <w:t xml:space="preserve"> (51% от общего количества учителей ЛГО)</w:t>
            </w:r>
          </w:p>
        </w:tc>
        <w:tc>
          <w:tcPr>
            <w:tcW w:w="3857"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МАОУ «Лицей </w:t>
            </w:r>
            <w:proofErr w:type="spellStart"/>
            <w:r>
              <w:rPr>
                <w:rFonts w:ascii="Times New Roman" w:eastAsia="Times New Roman" w:hAnsi="Times New Roman" w:cs="Times New Roman"/>
                <w:sz w:val="24"/>
                <w:szCs w:val="24"/>
              </w:rPr>
              <w:t>ВЕКТОРиЯ</w:t>
            </w:r>
            <w:proofErr w:type="spellEnd"/>
            <w:r>
              <w:rPr>
                <w:rFonts w:ascii="Times New Roman" w:eastAsia="Times New Roman" w:hAnsi="Times New Roman" w:cs="Times New Roman"/>
                <w:sz w:val="24"/>
                <w:szCs w:val="24"/>
              </w:rPr>
              <w:t xml:space="preserve">» - 44 МБОУ «СОШ № 2 с УИОП» - 13 </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МАОУ «СОШ № 3» - 10 </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6» - 59</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7» - 56</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«СОШ № 16 с УИОП» - 55 </w:t>
            </w:r>
          </w:p>
        </w:tc>
      </w:tr>
    </w:tbl>
    <w:p w:rsidR="003D521F" w:rsidRDefault="003D521F">
      <w:pPr>
        <w:tabs>
          <w:tab w:val="left" w:pos="3165"/>
        </w:tabs>
        <w:rPr>
          <w:rFonts w:ascii="Times New Roman" w:eastAsia="Times New Roman" w:hAnsi="Times New Roman" w:cs="Times New Roman"/>
          <w:sz w:val="24"/>
          <w:szCs w:val="24"/>
          <w:u w:val="single"/>
        </w:rPr>
      </w:pPr>
    </w:p>
    <w:tbl>
      <w:tblPr>
        <w:tblStyle w:val="ab"/>
        <w:tblW w:w="9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2824"/>
        <w:gridCol w:w="1820"/>
        <w:gridCol w:w="3810"/>
      </w:tblGrid>
      <w:tr w:rsidR="003D521F">
        <w:tc>
          <w:tcPr>
            <w:tcW w:w="1050"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c>
          <w:tcPr>
            <w:tcW w:w="2824"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Административно-управленческие команды</w:t>
            </w:r>
          </w:p>
        </w:tc>
        <w:tc>
          <w:tcPr>
            <w:tcW w:w="5630" w:type="dxa"/>
            <w:gridSpan w:val="2"/>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w:t>
            </w:r>
          </w:p>
        </w:tc>
      </w:tr>
      <w:tr w:rsidR="003D521F" w:rsidTr="005B7355">
        <w:trPr>
          <w:trHeight w:val="1265"/>
        </w:trPr>
        <w:tc>
          <w:tcPr>
            <w:tcW w:w="1050"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сады</w:t>
            </w:r>
          </w:p>
          <w:p w:rsidR="003D521F" w:rsidRDefault="003D521F">
            <w:pPr>
              <w:spacing w:line="276" w:lineRule="auto"/>
              <w:rPr>
                <w:rFonts w:ascii="Times New Roman" w:eastAsia="Times New Roman" w:hAnsi="Times New Roman" w:cs="Times New Roman"/>
                <w:sz w:val="24"/>
                <w:szCs w:val="24"/>
              </w:rPr>
            </w:pPr>
          </w:p>
        </w:tc>
        <w:tc>
          <w:tcPr>
            <w:tcW w:w="2824" w:type="dxa"/>
            <w:vAlign w:val="center"/>
          </w:tcPr>
          <w:p w:rsidR="003D521F" w:rsidRDefault="007807C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команд (29 человек): </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руководителей – 7, заместителей руководителя – 6, старшие воспитатели - 16</w:t>
            </w:r>
          </w:p>
        </w:tc>
        <w:tc>
          <w:tcPr>
            <w:tcW w:w="1820"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 воспитателя (включая старших) и специалиста</w:t>
            </w:r>
            <w:r>
              <w:rPr>
                <w:rFonts w:ascii="Times New Roman" w:eastAsia="Times New Roman" w:hAnsi="Times New Roman" w:cs="Times New Roman"/>
                <w:sz w:val="24"/>
                <w:szCs w:val="24"/>
              </w:rPr>
              <w:t xml:space="preserve"> (43% от общего количества педагогов ДОО)</w:t>
            </w:r>
          </w:p>
        </w:tc>
        <w:tc>
          <w:tcPr>
            <w:tcW w:w="3810" w:type="dxa"/>
            <w:vAlign w:val="center"/>
          </w:tcPr>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11» - 22</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17» - 10</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«ЦРР – Детский сад № 21» - 10</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«Детский сад № 26» - 18 МАДОУ «Детский сад № 27» - 12</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38» - 11</w:t>
            </w:r>
          </w:p>
          <w:p w:rsidR="003D521F" w:rsidRDefault="007807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«Детский сад № 39» - 24</w:t>
            </w:r>
          </w:p>
        </w:tc>
      </w:tr>
    </w:tbl>
    <w:p w:rsidR="003D521F" w:rsidRDefault="003D521F">
      <w:pPr>
        <w:tabs>
          <w:tab w:val="left" w:pos="3165"/>
        </w:tabs>
        <w:rPr>
          <w:rFonts w:ascii="Times New Roman" w:eastAsia="Times New Roman" w:hAnsi="Times New Roman" w:cs="Times New Roman"/>
          <w:sz w:val="24"/>
          <w:szCs w:val="24"/>
          <w:u w:val="single"/>
        </w:rPr>
      </w:pPr>
    </w:p>
    <w:p w:rsidR="003D521F" w:rsidRDefault="007807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Выводы:</w:t>
      </w:r>
    </w:p>
    <w:p w:rsidR="003D521F" w:rsidRDefault="007807CB" w:rsidP="005B7355">
      <w:pPr>
        <w:tabs>
          <w:tab w:val="left" w:pos="3165"/>
        </w:tabs>
        <w:ind w:firstLine="851"/>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За последние два года (2020 и 2021) 390 педагогов и руководителей школ и детских садов ЛГО (38%) разработали в Центре непрерывного повышения профессионального мастерства педагогических работников (ЦНППМПР) индивидуальные образовательные маршруты.</w:t>
      </w:r>
    </w:p>
    <w:p w:rsidR="003D521F" w:rsidRDefault="007807CB" w:rsidP="005B7355">
      <w:pPr>
        <w:tabs>
          <w:tab w:val="left" w:pos="3165"/>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то, что отчётный показатель за 2021 год (14%) не достиг прогнозного значения (15%), наблюдается достаточно активное вовлечение педагогов и руководителей ЛГО в разработку </w:t>
      </w:r>
      <w:proofErr w:type="spellStart"/>
      <w:r>
        <w:rPr>
          <w:rFonts w:ascii="Times New Roman" w:eastAsia="Times New Roman" w:hAnsi="Times New Roman" w:cs="Times New Roman"/>
          <w:sz w:val="24"/>
          <w:szCs w:val="24"/>
        </w:rPr>
        <w:t>ИОМов</w:t>
      </w:r>
      <w:proofErr w:type="spellEnd"/>
      <w:r>
        <w:rPr>
          <w:rFonts w:ascii="Times New Roman" w:eastAsia="Times New Roman" w:hAnsi="Times New Roman" w:cs="Times New Roman"/>
          <w:sz w:val="24"/>
          <w:szCs w:val="24"/>
        </w:rPr>
        <w:t xml:space="preserve">, что говорит о заинтересованности педагогов и руководителей в профессиональном развитии.   </w:t>
      </w:r>
    </w:p>
    <w:p w:rsidR="003D521F" w:rsidRDefault="007807CB" w:rsidP="00FA0A74">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6.2.2. Доля педагогических работников ОО (учителей), прошедших повышение квалификации по ДПП, включенным в Федеральный реестр ДПП (ФР ДПП)</w:t>
      </w:r>
    </w:p>
    <w:tbl>
      <w:tblPr>
        <w:tblStyle w:val="ac"/>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9"/>
        <w:gridCol w:w="2685"/>
        <w:gridCol w:w="1722"/>
        <w:gridCol w:w="1838"/>
      </w:tblGrid>
      <w:tr w:rsidR="003D521F" w:rsidTr="005B7355">
        <w:trPr>
          <w:trHeight w:val="980"/>
        </w:trPr>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 год</w:t>
            </w:r>
          </w:p>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участников</w:t>
            </w:r>
          </w:p>
        </w:tc>
        <w:tc>
          <w:tcPr>
            <w:tcW w:w="17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Успешно завершили обучение</w:t>
            </w:r>
          </w:p>
        </w:tc>
        <w:tc>
          <w:tcPr>
            <w:tcW w:w="18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от общего количества учителей (498 чел.)</w:t>
            </w:r>
          </w:p>
        </w:tc>
      </w:tr>
      <w:tr w:rsidR="003D521F" w:rsidTr="005B7355">
        <w:trPr>
          <w:trHeight w:val="2105"/>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КПК «Совершенствование предметных и методических компетенций (в том числе в области формирования функциональной грамотности обучающихся)»</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25 участников</w:t>
            </w:r>
            <w:r>
              <w:rPr>
                <w:rFonts w:ascii="Times New Roman" w:eastAsia="Times New Roman" w:hAnsi="Times New Roman" w:cs="Times New Roman"/>
                <w:sz w:val="24"/>
                <w:szCs w:val="24"/>
              </w:rPr>
              <w:t xml:space="preserve"> (учителя биологии, химии, математики, русского языка, физики) из пяти ОО (СОШ № 2, 6, 7, 16, школа для детей с ОВЗ).</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человек</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D521F" w:rsidTr="005B7355">
        <w:trPr>
          <w:trHeight w:val="1379"/>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КПК «Формирование ИКТ-грамотности школьников»</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11 участников</w:t>
            </w:r>
            <w:r>
              <w:rPr>
                <w:rFonts w:ascii="Times New Roman" w:eastAsia="Times New Roman" w:hAnsi="Times New Roman" w:cs="Times New Roman"/>
                <w:sz w:val="24"/>
                <w:szCs w:val="24"/>
              </w:rPr>
              <w:t xml:space="preserve"> (учителя технологии – 5, информатики – 6) из шести ОО (Лицей, СОШ № 2, 3, 6, 7, 16)</w:t>
            </w:r>
          </w:p>
          <w:p w:rsidR="003D521F" w:rsidRDefault="007807CB" w:rsidP="005B73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человек</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21F" w:rsidTr="005B7355">
        <w:trPr>
          <w:trHeight w:val="512"/>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участников:</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человек</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человек</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3D521F" w:rsidTr="005B7355">
        <w:trPr>
          <w:trHeight w:val="483"/>
        </w:trPr>
        <w:tc>
          <w:tcPr>
            <w:tcW w:w="9353"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2021 год</w:t>
            </w:r>
          </w:p>
        </w:tc>
      </w:tr>
      <w:tr w:rsidR="003D521F" w:rsidTr="005B7355">
        <w:trPr>
          <w:trHeight w:val="1295"/>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КПК «Управленческие механизмы оценки качества образования»</w:t>
            </w:r>
          </w:p>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12 участников</w:t>
            </w:r>
            <w:r>
              <w:rPr>
                <w:rFonts w:ascii="Times New Roman" w:eastAsia="Times New Roman" w:hAnsi="Times New Roman" w:cs="Times New Roman"/>
                <w:sz w:val="24"/>
                <w:szCs w:val="24"/>
              </w:rPr>
              <w:t xml:space="preserve"> (управленцы, педагоги, специалисты УО)</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человек</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21F" w:rsidTr="005B7355">
        <w:trPr>
          <w:trHeight w:val="2309"/>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КПК «Школа современного учителя»</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39 участников</w:t>
            </w:r>
          </w:p>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русского языка, литературы, математики, истории, обществознания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физики, географии, биологии (Лицей "</w:t>
            </w:r>
            <w:proofErr w:type="spellStart"/>
            <w:r>
              <w:rPr>
                <w:rFonts w:ascii="Times New Roman" w:eastAsia="Times New Roman" w:hAnsi="Times New Roman" w:cs="Times New Roman"/>
                <w:sz w:val="24"/>
                <w:szCs w:val="24"/>
              </w:rPr>
              <w:t>ВЕКТОРиЯ</w:t>
            </w:r>
            <w:proofErr w:type="spellEnd"/>
            <w:r>
              <w:rPr>
                <w:rFonts w:ascii="Times New Roman" w:eastAsia="Times New Roman" w:hAnsi="Times New Roman" w:cs="Times New Roman"/>
                <w:sz w:val="24"/>
                <w:szCs w:val="24"/>
              </w:rPr>
              <w:t>", СОШ № 2, 3, 16)</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D521F" w:rsidTr="005B7355">
        <w:trPr>
          <w:trHeight w:val="475"/>
        </w:trPr>
        <w:tc>
          <w:tcPr>
            <w:tcW w:w="3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участников:</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человек</w:t>
            </w:r>
          </w:p>
        </w:tc>
        <w:tc>
          <w:tcPr>
            <w:tcW w:w="172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c>
          <w:tcPr>
            <w:tcW w:w="183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D521F" w:rsidRDefault="007807CB" w:rsidP="005B73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D521F" w:rsidRDefault="007807CB" w:rsidP="005B7355">
      <w:pPr>
        <w:spacing w:before="240" w:after="24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2021 году 10% (51 чел.) учителей-предметников ЛГО прошли обучение по ДПП, вошедшим в Федеральный реестр ДПП (ФР ДПП). Это больше, чем за 2020 год на 1%. Прогнозное значение (10%) достигнуто. Предложение: продумать систему отслеживания педагогических работников, которые проходят обучение по ДПП, вошедшим в Федеральный реестр ДПП (ФР ДПП).</w:t>
      </w:r>
    </w:p>
    <w:p w:rsidR="003D521F" w:rsidRDefault="007807CB" w:rsidP="005B7355">
      <w:pPr>
        <w:spacing w:after="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6.2.3. Количество индивидуальных образовательных маршрутов совершенствования профессионального мастерства педагогических работников, разработанных на федеральном уровне</w:t>
      </w:r>
    </w:p>
    <w:p w:rsidR="003D521F" w:rsidRDefault="007807CB" w:rsidP="005B7355">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письмом Академии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376 от 15.02.2021 г. были восстановлены в качестве слушателей на федеральных курсах по программе “Совершенствование предметных и методических компетенций педагогических работников (в том числе в области формирования функциональной грамотности обучающихся”) три учителя ЛГО для повторного прохождения индивидуального образовательного маршрута и итоговой аттестации в сопровождении </w:t>
      </w:r>
      <w:proofErr w:type="spellStart"/>
      <w:r>
        <w:rPr>
          <w:rFonts w:ascii="Times New Roman" w:eastAsia="Times New Roman" w:hAnsi="Times New Roman" w:cs="Times New Roman"/>
          <w:sz w:val="24"/>
          <w:szCs w:val="24"/>
        </w:rPr>
        <w:t>тьюторов</w:t>
      </w:r>
      <w:proofErr w:type="spellEnd"/>
      <w:r>
        <w:rPr>
          <w:rFonts w:ascii="Times New Roman" w:eastAsia="Times New Roman" w:hAnsi="Times New Roman" w:cs="Times New Roman"/>
          <w:sz w:val="24"/>
          <w:szCs w:val="24"/>
        </w:rPr>
        <w:t xml:space="preserve"> Пермского края. По итогам повторной итоговой аттестации зафиксированы следующие </w:t>
      </w:r>
      <w:proofErr w:type="spellStart"/>
      <w:proofErr w:type="gramStart"/>
      <w:r>
        <w:rPr>
          <w:rFonts w:ascii="Times New Roman" w:eastAsia="Times New Roman" w:hAnsi="Times New Roman" w:cs="Times New Roman"/>
          <w:sz w:val="24"/>
          <w:szCs w:val="24"/>
        </w:rPr>
        <w:t>результаты:два</w:t>
      </w:r>
      <w:proofErr w:type="spellEnd"/>
      <w:proofErr w:type="gramEnd"/>
      <w:r>
        <w:rPr>
          <w:rFonts w:ascii="Times New Roman" w:eastAsia="Times New Roman" w:hAnsi="Times New Roman" w:cs="Times New Roman"/>
          <w:sz w:val="24"/>
          <w:szCs w:val="24"/>
        </w:rPr>
        <w:t xml:space="preserve"> педагога успешно прошли тестирование и один педагог не приступил к итоговому тестированию.</w:t>
      </w:r>
    </w:p>
    <w:p w:rsidR="003D521F" w:rsidRDefault="007807CB" w:rsidP="005B7355">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для учителей ЛГО (слушателей федеральных КПК “Школа современного учителя”) были разработаны 34 индивидуальных образовательных маршрута. При формировании индивидуальных образовательных маршрутов учитывались результаты диагностики профессиональных дефицитов, которая являлась подготовительным этапом к обучению на курсах.</w:t>
      </w:r>
    </w:p>
    <w:p w:rsidR="003D521F" w:rsidRDefault="007807CB" w:rsidP="005B7355">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2021 году для учителей ЛГО на федеральном уровне были разработаны 37 индивидуальных маршрута. Запланированное значение (не менее 25) достигнуто.</w:t>
      </w:r>
    </w:p>
    <w:p w:rsidR="00485BE2" w:rsidRDefault="00485BE2" w:rsidP="005B7355">
      <w:pPr>
        <w:spacing w:after="0" w:line="276" w:lineRule="auto"/>
        <w:ind w:firstLine="850"/>
        <w:jc w:val="both"/>
        <w:rPr>
          <w:rFonts w:ascii="Times New Roman" w:eastAsia="Times New Roman" w:hAnsi="Times New Roman" w:cs="Times New Roman"/>
          <w:sz w:val="24"/>
          <w:szCs w:val="24"/>
          <w:u w:val="single"/>
        </w:rPr>
      </w:pPr>
    </w:p>
    <w:p w:rsidR="003D521F" w:rsidRPr="00F634B1" w:rsidRDefault="007807CB" w:rsidP="004D30B4">
      <w:pPr>
        <w:spacing w:after="0" w:line="276" w:lineRule="auto"/>
        <w:jc w:val="center"/>
        <w:rPr>
          <w:rFonts w:ascii="Times New Roman" w:eastAsia="Times New Roman" w:hAnsi="Times New Roman" w:cs="Times New Roman"/>
          <w:sz w:val="24"/>
          <w:szCs w:val="24"/>
          <w:u w:val="single"/>
        </w:rPr>
      </w:pPr>
      <w:r w:rsidRPr="00F634B1">
        <w:rPr>
          <w:rFonts w:ascii="Times New Roman" w:eastAsia="Times New Roman" w:hAnsi="Times New Roman" w:cs="Times New Roman"/>
          <w:sz w:val="24"/>
          <w:szCs w:val="24"/>
          <w:u w:val="single"/>
        </w:rPr>
        <w:t xml:space="preserve">6.2.4. Количество </w:t>
      </w:r>
      <w:r w:rsidR="008100CB" w:rsidRPr="00F634B1">
        <w:rPr>
          <w:rFonts w:ascii="Times New Roman" w:eastAsia="Times New Roman" w:hAnsi="Times New Roman" w:cs="Times New Roman"/>
          <w:sz w:val="24"/>
          <w:szCs w:val="24"/>
          <w:u w:val="single"/>
        </w:rPr>
        <w:t xml:space="preserve">разработанных и </w:t>
      </w:r>
      <w:r w:rsidRPr="00F634B1">
        <w:rPr>
          <w:rFonts w:ascii="Times New Roman" w:eastAsia="Times New Roman" w:hAnsi="Times New Roman" w:cs="Times New Roman"/>
          <w:sz w:val="24"/>
          <w:szCs w:val="24"/>
          <w:u w:val="single"/>
        </w:rPr>
        <w:t>реализованных индивидуальных образов</w:t>
      </w:r>
      <w:r w:rsidR="00F634B1" w:rsidRPr="00F634B1">
        <w:rPr>
          <w:rFonts w:ascii="Times New Roman" w:eastAsia="Times New Roman" w:hAnsi="Times New Roman" w:cs="Times New Roman"/>
          <w:sz w:val="24"/>
          <w:szCs w:val="24"/>
          <w:u w:val="single"/>
        </w:rPr>
        <w:t>ательных маршрутов педагогов (институциональный и муниципальный уровень)</w:t>
      </w:r>
    </w:p>
    <w:p w:rsidR="008100CB" w:rsidRDefault="008100CB" w:rsidP="004D30B4">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статистического отчёта ОО за 2021 учебный год на институциональном уровне было реализовано 341 индивидуальный маршрут педагога.</w:t>
      </w:r>
    </w:p>
    <w:p w:rsidR="007807CB" w:rsidRPr="008100CB" w:rsidRDefault="007807CB" w:rsidP="004D30B4">
      <w:pPr>
        <w:spacing w:after="0" w:line="276" w:lineRule="auto"/>
        <w:ind w:firstLine="851"/>
        <w:jc w:val="both"/>
        <w:rPr>
          <w:rFonts w:ascii="Times New Roman" w:eastAsia="Times New Roman" w:hAnsi="Times New Roman" w:cs="Times New Roman"/>
          <w:sz w:val="24"/>
          <w:szCs w:val="24"/>
        </w:rPr>
      </w:pPr>
      <w:r w:rsidRPr="008100CB">
        <w:rPr>
          <w:rFonts w:ascii="Times New Roman" w:eastAsia="Times New Roman" w:hAnsi="Times New Roman" w:cs="Times New Roman"/>
          <w:sz w:val="24"/>
          <w:szCs w:val="24"/>
        </w:rPr>
        <w:t>В 2021 году был разработан и реализован в рамках ГМФ заместителей директора по МР</w:t>
      </w:r>
      <w:r w:rsidR="008100CB" w:rsidRPr="008100CB">
        <w:rPr>
          <w:rFonts w:ascii="Times New Roman" w:eastAsia="Times New Roman" w:hAnsi="Times New Roman" w:cs="Times New Roman"/>
          <w:sz w:val="24"/>
          <w:szCs w:val="24"/>
        </w:rPr>
        <w:t xml:space="preserve"> </w:t>
      </w:r>
      <w:r w:rsidRPr="008100CB">
        <w:rPr>
          <w:rFonts w:ascii="Times New Roman" w:eastAsia="Times New Roman" w:hAnsi="Times New Roman" w:cs="Times New Roman"/>
          <w:sz w:val="24"/>
          <w:szCs w:val="24"/>
        </w:rPr>
        <w:t xml:space="preserve">методический проект «ИОМ в действии». В рамках проекта был создан реестр ИОМ </w:t>
      </w:r>
      <w:r w:rsidRPr="008100CB">
        <w:rPr>
          <w:rFonts w:ascii="Times New Roman" w:eastAsia="Times New Roman" w:hAnsi="Times New Roman" w:cs="Times New Roman"/>
          <w:sz w:val="24"/>
          <w:szCs w:val="24"/>
        </w:rPr>
        <w:lastRenderedPageBreak/>
        <w:t>педагогов-участников проекта</w:t>
      </w:r>
      <w:r w:rsidR="008100CB" w:rsidRPr="008100CB">
        <w:rPr>
          <w:rFonts w:ascii="Times New Roman" w:eastAsia="Times New Roman" w:hAnsi="Times New Roman" w:cs="Times New Roman"/>
          <w:sz w:val="24"/>
          <w:szCs w:val="24"/>
        </w:rPr>
        <w:t>.</w:t>
      </w:r>
      <w:r w:rsidRPr="008100CB">
        <w:rPr>
          <w:rFonts w:ascii="Times New Roman" w:eastAsia="Times New Roman" w:hAnsi="Times New Roman" w:cs="Times New Roman"/>
          <w:sz w:val="24"/>
          <w:szCs w:val="24"/>
        </w:rPr>
        <w:t xml:space="preserve"> На сегодняшний день в Реестре 3</w:t>
      </w:r>
      <w:r w:rsidR="008100CB" w:rsidRPr="008100CB">
        <w:rPr>
          <w:rFonts w:ascii="Times New Roman" w:eastAsia="Times New Roman" w:hAnsi="Times New Roman" w:cs="Times New Roman"/>
          <w:sz w:val="24"/>
          <w:szCs w:val="24"/>
        </w:rPr>
        <w:t>7 педагогов, разработавших ИОМ.</w:t>
      </w:r>
    </w:p>
    <w:tbl>
      <w:tblPr>
        <w:tblStyle w:val="10"/>
        <w:tblW w:w="9351" w:type="dxa"/>
        <w:tblLayout w:type="fixed"/>
        <w:tblLook w:val="04A0" w:firstRow="1" w:lastRow="0" w:firstColumn="1" w:lastColumn="0" w:noHBand="0" w:noVBand="1"/>
      </w:tblPr>
      <w:tblGrid>
        <w:gridCol w:w="6516"/>
        <w:gridCol w:w="2835"/>
      </w:tblGrid>
      <w:tr w:rsidR="008100CB" w:rsidRPr="008100CB" w:rsidTr="008100CB">
        <w:tc>
          <w:tcPr>
            <w:tcW w:w="6516" w:type="dxa"/>
          </w:tcPr>
          <w:p w:rsidR="008100CB" w:rsidRPr="008100CB" w:rsidRDefault="008100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ОО</w:t>
            </w:r>
          </w:p>
        </w:tc>
        <w:tc>
          <w:tcPr>
            <w:tcW w:w="2835" w:type="dxa"/>
          </w:tcPr>
          <w:p w:rsidR="008100CB" w:rsidRPr="008100CB" w:rsidRDefault="008100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Количество ИОМ</w:t>
            </w:r>
          </w:p>
        </w:tc>
      </w:tr>
      <w:tr w:rsidR="008100CB" w:rsidRPr="008100CB" w:rsidTr="008100CB">
        <w:tc>
          <w:tcPr>
            <w:tcW w:w="6516" w:type="dxa"/>
          </w:tcPr>
          <w:p w:rsidR="008100CB" w:rsidRPr="008100CB" w:rsidRDefault="008100CB" w:rsidP="004D30B4">
            <w:pPr>
              <w:spacing w:line="276" w:lineRule="auto"/>
              <w:jc w:val="both"/>
              <w:rPr>
                <w:rFonts w:ascii="Times New Roman" w:hAnsi="Times New Roman" w:cs="Times New Roman"/>
                <w:sz w:val="24"/>
                <w:szCs w:val="24"/>
              </w:rPr>
            </w:pPr>
            <w:r w:rsidRPr="008100CB">
              <w:rPr>
                <w:rFonts w:ascii="Times New Roman" w:hAnsi="Times New Roman" w:cs="Times New Roman"/>
                <w:sz w:val="24"/>
                <w:szCs w:val="24"/>
              </w:rPr>
              <w:t>МБУ ДО «ДД(Ю)Т»</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6</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МБОУ «Школа для детей с ОВЗ»</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МБОУ "СОШ № 7"</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МБОУ "СОШ № 6"</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4</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МБОУ "СОШ № 2"</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МБОУ "СОШ № 16"</w:t>
            </w:r>
          </w:p>
        </w:tc>
        <w:tc>
          <w:tcPr>
            <w:tcW w:w="2835" w:type="dxa"/>
          </w:tcPr>
          <w:p w:rsidR="008100CB" w:rsidRPr="008100CB" w:rsidRDefault="008100CB" w:rsidP="004D30B4">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МАОУ «СОШ № 3»</w:t>
            </w:r>
          </w:p>
        </w:tc>
        <w:tc>
          <w:tcPr>
            <w:tcW w:w="2835" w:type="dxa"/>
          </w:tcPr>
          <w:p w:rsidR="008100CB" w:rsidRPr="008100CB" w:rsidRDefault="008100CB" w:rsidP="004D30B4">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МАОУ "Лицей "</w:t>
            </w:r>
            <w:proofErr w:type="spellStart"/>
            <w:r w:rsidRPr="008100CB">
              <w:rPr>
                <w:rFonts w:ascii="Times New Roman" w:hAnsi="Times New Roman" w:cs="Times New Roman"/>
                <w:sz w:val="24"/>
                <w:szCs w:val="24"/>
              </w:rPr>
              <w:t>ВЕКТОРиЯ</w:t>
            </w:r>
            <w:proofErr w:type="spellEnd"/>
            <w:r w:rsidRPr="008100CB">
              <w:rPr>
                <w:rFonts w:ascii="Times New Roman" w:hAnsi="Times New Roman" w:cs="Times New Roman"/>
                <w:sz w:val="24"/>
                <w:szCs w:val="24"/>
              </w:rPr>
              <w:t>"</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МБДОУ «Детский сад № 17»</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МАДОУ «Детский сад № 39» МО «ЛГО»</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МАДОУ «ЦРР-Детский сад № 21» МО «ЛГО»</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МБДОУ «Детский сад № 11»</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4 </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МАДОУ «Детский сад № 27»</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МБДОУ «Детский сад № 38»</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3 </w:t>
            </w:r>
          </w:p>
        </w:tc>
      </w:tr>
      <w:tr w:rsidR="008100CB" w:rsidRPr="008100CB" w:rsidTr="008100CB">
        <w:tc>
          <w:tcPr>
            <w:tcW w:w="6516"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МАДОУ «Детский сад № 26»</w:t>
            </w:r>
          </w:p>
        </w:tc>
        <w:tc>
          <w:tcPr>
            <w:tcW w:w="2835" w:type="dxa"/>
          </w:tcPr>
          <w:p w:rsidR="008100CB" w:rsidRPr="008100CB" w:rsidRDefault="008100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r>
    </w:tbl>
    <w:p w:rsidR="007807CB" w:rsidRPr="008100CB" w:rsidRDefault="007807CB" w:rsidP="004D30B4">
      <w:pPr>
        <w:spacing w:after="0" w:line="276" w:lineRule="auto"/>
        <w:ind w:firstLine="851"/>
        <w:jc w:val="both"/>
        <w:rPr>
          <w:rFonts w:ascii="Times New Roman" w:eastAsiaTheme="minorHAnsi" w:hAnsi="Times New Roman" w:cs="Times New Roman"/>
          <w:sz w:val="24"/>
          <w:szCs w:val="24"/>
          <w:lang w:eastAsia="en-US"/>
        </w:rPr>
      </w:pPr>
      <w:r w:rsidRPr="008100CB">
        <w:rPr>
          <w:rFonts w:ascii="Times New Roman" w:eastAsiaTheme="minorHAnsi" w:hAnsi="Times New Roman" w:cs="Times New Roman"/>
          <w:sz w:val="24"/>
          <w:szCs w:val="24"/>
          <w:lang w:eastAsia="en-US"/>
        </w:rPr>
        <w:t xml:space="preserve">Анализ Реестра по должностям педагогов, разработавших ИОМ, показывает, что наиболее готовы к работе в индивидуальном режиме педагоги дополнительного образования, учителя начальных классов, математики, воспитатели ДОУ. В Реестре нет представителей таких учебных предметов как история, естественно-научный цикл. </w:t>
      </w:r>
    </w:p>
    <w:p w:rsidR="007807CB" w:rsidRPr="008100CB" w:rsidRDefault="007807CB" w:rsidP="004D30B4">
      <w:pPr>
        <w:spacing w:after="0" w:line="276" w:lineRule="auto"/>
        <w:rPr>
          <w:rFonts w:ascii="Times New Roman" w:eastAsiaTheme="minorHAnsi" w:hAnsi="Times New Roman" w:cs="Times New Roman"/>
          <w:b/>
          <w:sz w:val="24"/>
          <w:szCs w:val="24"/>
          <w:lang w:eastAsia="en-US"/>
        </w:rPr>
      </w:pPr>
      <w:r w:rsidRPr="008100CB">
        <w:rPr>
          <w:rFonts w:ascii="Times New Roman" w:eastAsiaTheme="minorHAnsi" w:hAnsi="Times New Roman" w:cs="Times New Roman"/>
          <w:b/>
          <w:sz w:val="24"/>
          <w:szCs w:val="24"/>
          <w:lang w:eastAsia="en-US"/>
        </w:rPr>
        <w:t xml:space="preserve">По должностям: </w:t>
      </w:r>
    </w:p>
    <w:tbl>
      <w:tblPr>
        <w:tblStyle w:val="10"/>
        <w:tblW w:w="9351" w:type="dxa"/>
        <w:tblLayout w:type="fixed"/>
        <w:tblLook w:val="04A0" w:firstRow="1" w:lastRow="0" w:firstColumn="1" w:lastColumn="0" w:noHBand="0" w:noVBand="1"/>
      </w:tblPr>
      <w:tblGrid>
        <w:gridCol w:w="4564"/>
        <w:gridCol w:w="1243"/>
        <w:gridCol w:w="1701"/>
        <w:gridCol w:w="1843"/>
      </w:tblGrid>
      <w:tr w:rsidR="007807CB" w:rsidRPr="008100CB" w:rsidTr="007807CB">
        <w:tc>
          <w:tcPr>
            <w:tcW w:w="4564" w:type="dxa"/>
            <w:vMerge w:val="restart"/>
          </w:tcPr>
          <w:p w:rsidR="007807CB" w:rsidRPr="008100CB" w:rsidRDefault="007807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 xml:space="preserve">Должность </w:t>
            </w:r>
          </w:p>
        </w:tc>
        <w:tc>
          <w:tcPr>
            <w:tcW w:w="1243" w:type="dxa"/>
            <w:vMerge w:val="restart"/>
          </w:tcPr>
          <w:p w:rsidR="007807CB" w:rsidRPr="008100CB" w:rsidRDefault="007807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Количество ИОМ</w:t>
            </w:r>
          </w:p>
        </w:tc>
        <w:tc>
          <w:tcPr>
            <w:tcW w:w="3544" w:type="dxa"/>
            <w:gridSpan w:val="2"/>
          </w:tcPr>
          <w:p w:rsidR="007807CB" w:rsidRPr="008100CB" w:rsidRDefault="007807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Вид ИОМ</w:t>
            </w:r>
          </w:p>
        </w:tc>
      </w:tr>
      <w:tr w:rsidR="007807CB" w:rsidRPr="008100CB" w:rsidTr="007807CB">
        <w:tc>
          <w:tcPr>
            <w:tcW w:w="4564" w:type="dxa"/>
            <w:vMerge/>
          </w:tcPr>
          <w:p w:rsidR="007807CB" w:rsidRPr="008100CB" w:rsidRDefault="007807CB" w:rsidP="004D30B4">
            <w:pPr>
              <w:spacing w:line="276" w:lineRule="auto"/>
              <w:rPr>
                <w:rFonts w:ascii="Times New Roman" w:hAnsi="Times New Roman" w:cs="Times New Roman"/>
                <w:b/>
                <w:sz w:val="24"/>
                <w:szCs w:val="24"/>
              </w:rPr>
            </w:pPr>
          </w:p>
        </w:tc>
        <w:tc>
          <w:tcPr>
            <w:tcW w:w="1243" w:type="dxa"/>
            <w:vMerge/>
          </w:tcPr>
          <w:p w:rsidR="007807CB" w:rsidRPr="008100CB" w:rsidRDefault="007807CB" w:rsidP="004D30B4">
            <w:pPr>
              <w:spacing w:line="276" w:lineRule="auto"/>
              <w:rPr>
                <w:rFonts w:ascii="Times New Roman" w:hAnsi="Times New Roman" w:cs="Times New Roman"/>
                <w:b/>
                <w:sz w:val="24"/>
                <w:szCs w:val="24"/>
              </w:rPr>
            </w:pPr>
          </w:p>
        </w:tc>
        <w:tc>
          <w:tcPr>
            <w:tcW w:w="1701" w:type="dxa"/>
          </w:tcPr>
          <w:p w:rsidR="007807CB" w:rsidRPr="008100CB" w:rsidRDefault="007807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компенсаторный</w:t>
            </w:r>
          </w:p>
        </w:tc>
        <w:tc>
          <w:tcPr>
            <w:tcW w:w="1843" w:type="dxa"/>
          </w:tcPr>
          <w:p w:rsidR="007807CB" w:rsidRPr="008100CB" w:rsidRDefault="007807CB" w:rsidP="004D30B4">
            <w:pPr>
              <w:spacing w:line="276" w:lineRule="auto"/>
              <w:rPr>
                <w:rFonts w:ascii="Times New Roman" w:hAnsi="Times New Roman" w:cs="Times New Roman"/>
                <w:b/>
                <w:sz w:val="24"/>
                <w:szCs w:val="24"/>
              </w:rPr>
            </w:pPr>
            <w:r w:rsidRPr="008100CB">
              <w:rPr>
                <w:rFonts w:ascii="Times New Roman" w:hAnsi="Times New Roman" w:cs="Times New Roman"/>
                <w:b/>
                <w:sz w:val="24"/>
                <w:szCs w:val="24"/>
              </w:rPr>
              <w:t>развивающий</w:t>
            </w:r>
          </w:p>
        </w:tc>
      </w:tr>
      <w:tr w:rsidR="007807CB" w:rsidRPr="008100CB" w:rsidTr="007807CB">
        <w:tc>
          <w:tcPr>
            <w:tcW w:w="4564" w:type="dxa"/>
          </w:tcPr>
          <w:p w:rsidR="007807CB" w:rsidRPr="008100CB" w:rsidRDefault="007807CB" w:rsidP="004D30B4">
            <w:pPr>
              <w:spacing w:line="276" w:lineRule="auto"/>
              <w:jc w:val="both"/>
              <w:rPr>
                <w:rFonts w:ascii="Times New Roman" w:hAnsi="Times New Roman" w:cs="Times New Roman"/>
                <w:sz w:val="24"/>
                <w:szCs w:val="24"/>
              </w:rPr>
            </w:pPr>
            <w:r w:rsidRPr="008100CB">
              <w:rPr>
                <w:rFonts w:ascii="Times New Roman" w:hAnsi="Times New Roman" w:cs="Times New Roman"/>
                <w:sz w:val="24"/>
                <w:szCs w:val="24"/>
              </w:rPr>
              <w:t xml:space="preserve">Воспитатель </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10</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2  </w:t>
            </w: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8</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Методист </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c>
          <w:tcPr>
            <w:tcW w:w="1701" w:type="dxa"/>
          </w:tcPr>
          <w:p w:rsidR="007807CB" w:rsidRPr="008100CB" w:rsidRDefault="007807CB" w:rsidP="004D30B4">
            <w:pPr>
              <w:spacing w:line="276" w:lineRule="auto"/>
              <w:rPr>
                <w:rFonts w:ascii="Times New Roman" w:hAnsi="Times New Roman" w:cs="Times New Roman"/>
                <w:sz w:val="24"/>
                <w:szCs w:val="24"/>
              </w:rPr>
            </w:pP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Педагог дополнительного образования</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5</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Социальный педагог </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c>
          <w:tcPr>
            <w:tcW w:w="1701" w:type="dxa"/>
          </w:tcPr>
          <w:p w:rsidR="007807CB" w:rsidRPr="008100CB" w:rsidRDefault="007807CB" w:rsidP="004D30B4">
            <w:pPr>
              <w:spacing w:line="276" w:lineRule="auto"/>
              <w:rPr>
                <w:rFonts w:ascii="Times New Roman" w:hAnsi="Times New Roman" w:cs="Times New Roman"/>
                <w:sz w:val="24"/>
                <w:szCs w:val="24"/>
              </w:rPr>
            </w:pP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Старший воспитатель </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701" w:type="dxa"/>
          </w:tcPr>
          <w:p w:rsidR="007807CB" w:rsidRPr="008100CB" w:rsidRDefault="007807CB" w:rsidP="004D30B4">
            <w:pPr>
              <w:spacing w:line="276" w:lineRule="auto"/>
              <w:rPr>
                <w:rFonts w:ascii="Times New Roman" w:hAnsi="Times New Roman" w:cs="Times New Roman"/>
                <w:sz w:val="24"/>
                <w:szCs w:val="24"/>
              </w:rPr>
            </w:pP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Учитель английского языка</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843" w:type="dxa"/>
          </w:tcPr>
          <w:p w:rsidR="007807CB" w:rsidRPr="008100CB" w:rsidRDefault="007807CB" w:rsidP="004D30B4">
            <w:pPr>
              <w:spacing w:line="276" w:lineRule="auto"/>
              <w:rPr>
                <w:rFonts w:ascii="Times New Roman" w:hAnsi="Times New Roman" w:cs="Times New Roman"/>
                <w:sz w:val="24"/>
                <w:szCs w:val="24"/>
              </w:rPr>
            </w:pP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highlight w:val="yellow"/>
              </w:rPr>
            </w:pPr>
            <w:r w:rsidRPr="008100CB">
              <w:rPr>
                <w:rFonts w:ascii="Times New Roman" w:hAnsi="Times New Roman" w:cs="Times New Roman"/>
                <w:sz w:val="24"/>
                <w:szCs w:val="24"/>
              </w:rPr>
              <w:t>Учитель ИЗО</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c>
          <w:tcPr>
            <w:tcW w:w="1843" w:type="dxa"/>
          </w:tcPr>
          <w:p w:rsidR="007807CB" w:rsidRPr="008100CB" w:rsidRDefault="007807CB" w:rsidP="004D30B4">
            <w:pPr>
              <w:spacing w:line="276" w:lineRule="auto"/>
              <w:rPr>
                <w:rFonts w:ascii="Times New Roman" w:hAnsi="Times New Roman" w:cs="Times New Roman"/>
                <w:sz w:val="24"/>
                <w:szCs w:val="24"/>
              </w:rPr>
            </w:pP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Учитель математики</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c>
          <w:tcPr>
            <w:tcW w:w="1701" w:type="dxa"/>
          </w:tcPr>
          <w:p w:rsidR="007807CB" w:rsidRPr="008100CB" w:rsidRDefault="007807CB" w:rsidP="004D30B4">
            <w:pPr>
              <w:spacing w:line="276" w:lineRule="auto"/>
              <w:rPr>
                <w:rFonts w:ascii="Times New Roman" w:hAnsi="Times New Roman" w:cs="Times New Roman"/>
                <w:sz w:val="24"/>
                <w:szCs w:val="24"/>
              </w:rPr>
            </w:pP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Учитель начальных классов</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7</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5</w:t>
            </w: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 xml:space="preserve">Учитель русского языка </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843" w:type="dxa"/>
          </w:tcPr>
          <w:p w:rsidR="007807CB" w:rsidRPr="008100CB" w:rsidRDefault="007807CB" w:rsidP="004D30B4">
            <w:pPr>
              <w:spacing w:line="276" w:lineRule="auto"/>
              <w:rPr>
                <w:rFonts w:ascii="Times New Roman" w:hAnsi="Times New Roman" w:cs="Times New Roman"/>
                <w:sz w:val="24"/>
                <w:szCs w:val="24"/>
              </w:rPr>
            </w:pPr>
          </w:p>
        </w:tc>
      </w:tr>
      <w:tr w:rsidR="007807CB" w:rsidRPr="008100CB" w:rsidTr="007807CB">
        <w:tc>
          <w:tcPr>
            <w:tcW w:w="4564"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Учитель - логопед</w:t>
            </w:r>
          </w:p>
        </w:tc>
        <w:tc>
          <w:tcPr>
            <w:tcW w:w="12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3</w:t>
            </w:r>
          </w:p>
        </w:tc>
        <w:tc>
          <w:tcPr>
            <w:tcW w:w="1701"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2</w:t>
            </w:r>
          </w:p>
        </w:tc>
        <w:tc>
          <w:tcPr>
            <w:tcW w:w="1843" w:type="dxa"/>
          </w:tcPr>
          <w:p w:rsidR="007807CB" w:rsidRPr="008100CB" w:rsidRDefault="007807CB" w:rsidP="004D30B4">
            <w:pPr>
              <w:spacing w:line="276" w:lineRule="auto"/>
              <w:rPr>
                <w:rFonts w:ascii="Times New Roman" w:hAnsi="Times New Roman" w:cs="Times New Roman"/>
                <w:sz w:val="24"/>
                <w:szCs w:val="24"/>
              </w:rPr>
            </w:pPr>
            <w:r w:rsidRPr="008100CB">
              <w:rPr>
                <w:rFonts w:ascii="Times New Roman" w:hAnsi="Times New Roman" w:cs="Times New Roman"/>
                <w:sz w:val="24"/>
                <w:szCs w:val="24"/>
              </w:rPr>
              <w:t>1</w:t>
            </w:r>
          </w:p>
        </w:tc>
      </w:tr>
    </w:tbl>
    <w:p w:rsidR="007807CB" w:rsidRDefault="007807CB" w:rsidP="004D30B4">
      <w:pPr>
        <w:spacing w:after="0" w:line="276" w:lineRule="auto"/>
        <w:ind w:firstLine="851"/>
        <w:jc w:val="both"/>
        <w:rPr>
          <w:rFonts w:ascii="Times New Roman" w:eastAsiaTheme="minorHAnsi" w:hAnsi="Times New Roman" w:cs="Times New Roman"/>
          <w:sz w:val="24"/>
          <w:szCs w:val="24"/>
          <w:lang w:eastAsia="en-US"/>
        </w:rPr>
      </w:pPr>
      <w:r w:rsidRPr="007807CB">
        <w:rPr>
          <w:rFonts w:ascii="Times New Roman" w:eastAsiaTheme="minorHAnsi" w:hAnsi="Times New Roman" w:cs="Times New Roman"/>
          <w:sz w:val="24"/>
          <w:szCs w:val="24"/>
          <w:lang w:eastAsia="en-US"/>
        </w:rPr>
        <w:t xml:space="preserve">Учитывая, что в современных условиях не очень эффективными являются долгосрочные проекты, при подготовке к работе был сделан акцент на том, что ИОМ не должен быть слишком продолжительным. Привычный интервал работы для педагога – один учебный год, наверное, поэтому 17 ИОМ (46%) рассчитаны на 1 год. 11% - на два года, а остальные ИОМ (43) должны реализоваться в сроки от 4 до 9 месяцев. Налицо учет особенностей времени и понимание, что ИОМ – это не программа, а достаточно конкретный и целенаправленный план действий по решению образовательной задачи. </w:t>
      </w:r>
    </w:p>
    <w:p w:rsidR="008100CB" w:rsidRDefault="008100CB" w:rsidP="004D30B4">
      <w:pPr>
        <w:spacing w:after="0" w:line="276" w:lineRule="auto"/>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На сегодняшний день ИОМ, </w:t>
      </w:r>
      <w:r w:rsidR="00F634B1">
        <w:rPr>
          <w:rFonts w:ascii="Times New Roman" w:eastAsiaTheme="minorHAnsi" w:hAnsi="Times New Roman" w:cs="Times New Roman"/>
          <w:sz w:val="24"/>
          <w:szCs w:val="24"/>
          <w:lang w:eastAsia="en-US"/>
        </w:rPr>
        <w:t>разработанные в рамках проекта н</w:t>
      </w:r>
      <w:r>
        <w:rPr>
          <w:rFonts w:ascii="Times New Roman" w:eastAsiaTheme="minorHAnsi" w:hAnsi="Times New Roman" w:cs="Times New Roman"/>
          <w:sz w:val="24"/>
          <w:szCs w:val="24"/>
          <w:lang w:eastAsia="en-US"/>
        </w:rPr>
        <w:t>аходятся в стадии реализации.</w:t>
      </w:r>
    </w:p>
    <w:p w:rsidR="007807CB" w:rsidRDefault="004D30B4" w:rsidP="004D30B4">
      <w:pPr>
        <w:tabs>
          <w:tab w:val="left" w:pos="851"/>
        </w:tabs>
        <w:spacing w:after="0" w:line="276" w:lineRule="auto"/>
        <w:ind w:firstLine="851"/>
        <w:jc w:val="both"/>
        <w:rPr>
          <w:rFonts w:ascii="Times New Roman" w:eastAsiaTheme="minorHAnsi" w:hAnsi="Times New Roman" w:cs="Times New Roman"/>
          <w:sz w:val="24"/>
          <w:szCs w:val="24"/>
          <w:lang w:eastAsia="en-US"/>
        </w:rPr>
      </w:pPr>
      <w:r w:rsidRPr="004D30B4">
        <w:rPr>
          <w:rFonts w:ascii="Times New Roman" w:eastAsiaTheme="minorHAnsi" w:hAnsi="Times New Roman" w:cs="Times New Roman"/>
          <w:sz w:val="24"/>
          <w:szCs w:val="24"/>
          <w:lang w:eastAsia="en-US"/>
        </w:rPr>
        <w:t>Таким образом,</w:t>
      </w:r>
      <w:r>
        <w:rPr>
          <w:rFonts w:ascii="Times New Roman" w:eastAsiaTheme="minorHAnsi" w:hAnsi="Times New Roman" w:cs="Times New Roman"/>
          <w:sz w:val="24"/>
          <w:szCs w:val="24"/>
          <w:lang w:eastAsia="en-US"/>
        </w:rPr>
        <w:t xml:space="preserve"> педагоги</w:t>
      </w:r>
      <w:r w:rsidRPr="004D30B4">
        <w:rPr>
          <w:rFonts w:ascii="Times New Roman" w:eastAsiaTheme="minorHAnsi" w:hAnsi="Times New Roman" w:cs="Times New Roman"/>
          <w:sz w:val="24"/>
          <w:szCs w:val="24"/>
          <w:lang w:eastAsia="en-US"/>
        </w:rPr>
        <w:t xml:space="preserve"> показали заинтересованность в использовании данной формы повышения профессионализма</w:t>
      </w:r>
      <w:r>
        <w:rPr>
          <w:rFonts w:ascii="Times New Roman" w:eastAsiaTheme="minorHAnsi" w:hAnsi="Times New Roman" w:cs="Times New Roman"/>
          <w:sz w:val="24"/>
          <w:szCs w:val="24"/>
          <w:lang w:eastAsia="en-US"/>
        </w:rPr>
        <w:t>.</w:t>
      </w:r>
    </w:p>
    <w:p w:rsidR="004D30B4" w:rsidRPr="004D30B4" w:rsidRDefault="004D30B4" w:rsidP="004D30B4">
      <w:pPr>
        <w:tabs>
          <w:tab w:val="left" w:pos="851"/>
        </w:tabs>
        <w:ind w:firstLine="851"/>
        <w:jc w:val="both"/>
        <w:rPr>
          <w:rFonts w:ascii="Times New Roman" w:eastAsiaTheme="minorHAnsi" w:hAnsi="Times New Roman" w:cs="Times New Roman"/>
          <w:sz w:val="24"/>
          <w:szCs w:val="24"/>
          <w:lang w:eastAsia="en-US"/>
        </w:rPr>
      </w:pPr>
    </w:p>
    <w:p w:rsidR="003D521F" w:rsidRDefault="007807CB">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6.2.5. Доля педагогических и руководящих работников образовательных организаций, прошедших программы профессиональной переподготовки по образовательным программа педагогической направленности, от общего количества педагогических и руководящих работников образовательных организаций</w:t>
      </w:r>
    </w:p>
    <w:tbl>
      <w:tblPr>
        <w:tblStyle w:val="ad"/>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605"/>
      </w:tblGrid>
      <w:tr w:rsidR="003D521F" w:rsidTr="005B7355">
        <w:tc>
          <w:tcPr>
            <w:tcW w:w="772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педагогических работников, прошедших профессиональную переподготовку, чел.</w:t>
            </w:r>
          </w:p>
        </w:tc>
        <w:tc>
          <w:tcPr>
            <w:tcW w:w="160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3D521F" w:rsidTr="005B7355">
        <w:trPr>
          <w:trHeight w:val="705"/>
        </w:trPr>
        <w:tc>
          <w:tcPr>
            <w:tcW w:w="772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педагогических и руководящих работников, чел.</w:t>
            </w:r>
          </w:p>
        </w:tc>
        <w:tc>
          <w:tcPr>
            <w:tcW w:w="160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r>
      <w:tr w:rsidR="003D521F" w:rsidTr="005B7355">
        <w:tc>
          <w:tcPr>
            <w:tcW w:w="772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педагогических и руководящих работников, прошедших программы профессиональной переподготовки по образовательным программа педагогической направленности, %</w:t>
            </w:r>
          </w:p>
        </w:tc>
        <w:tc>
          <w:tcPr>
            <w:tcW w:w="1605" w:type="dxa"/>
            <w:shd w:val="clear" w:color="auto" w:fill="auto"/>
            <w:tcMar>
              <w:top w:w="100" w:type="dxa"/>
              <w:left w:w="100" w:type="dxa"/>
              <w:bottom w:w="100" w:type="dxa"/>
              <w:right w:w="100" w:type="dxa"/>
            </w:tcMar>
            <w:vAlign w:val="center"/>
          </w:tcPr>
          <w:p w:rsidR="003D521F" w:rsidRDefault="007807CB" w:rsidP="005B73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3D521F" w:rsidRDefault="007807CB">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доли педагогических и руководящих работников образовательных организаций, прошедших программы профессиональной переподготовки по образовательным программа педагогической направленности за 2021 год позволяет сделать вывод, что плановый показатель (2%) перевыполнен и соответствует 6%.</w:t>
      </w:r>
    </w:p>
    <w:p w:rsidR="003D521F" w:rsidRDefault="003D521F">
      <w:pPr>
        <w:spacing w:after="0" w:line="276" w:lineRule="auto"/>
        <w:ind w:firstLine="709"/>
        <w:jc w:val="both"/>
        <w:rPr>
          <w:rFonts w:ascii="Times New Roman" w:eastAsia="Times New Roman" w:hAnsi="Times New Roman" w:cs="Times New Roman"/>
          <w:sz w:val="24"/>
          <w:szCs w:val="24"/>
        </w:rPr>
      </w:pPr>
    </w:p>
    <w:p w:rsidR="003D521F" w:rsidRDefault="007807CB">
      <w:pPr>
        <w:tabs>
          <w:tab w:val="left" w:pos="3165"/>
        </w:tabs>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6.2.6. Доля педагогических работников, прошедших обучение по ДПП ПК в дистанционной форме, от общего количества педагогических работников образовательных организаций,</w:t>
      </w:r>
      <w:r w:rsidR="00372943">
        <w:rPr>
          <w:rFonts w:ascii="Times New Roman" w:eastAsia="Times New Roman" w:hAnsi="Times New Roman" w:cs="Times New Roman"/>
          <w:sz w:val="24"/>
          <w:szCs w:val="24"/>
          <w:u w:val="single"/>
        </w:rPr>
        <w:t xml:space="preserve"> прошедших обучение по ДПП ПК</w:t>
      </w:r>
      <w:r>
        <w:rPr>
          <w:rFonts w:ascii="Times New Roman" w:eastAsia="Times New Roman" w:hAnsi="Times New Roman" w:cs="Times New Roman"/>
          <w:sz w:val="24"/>
          <w:szCs w:val="24"/>
          <w:u w:val="single"/>
        </w:rPr>
        <w:t xml:space="preserve">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551"/>
        <w:gridCol w:w="1985"/>
      </w:tblGrid>
      <w:tr w:rsidR="003D521F">
        <w:tc>
          <w:tcPr>
            <w:tcW w:w="481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2551"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(ДПП ПК</w:t>
            </w:r>
          </w:p>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МАУ ДПО «ЦНМО»)</w:t>
            </w:r>
          </w:p>
        </w:tc>
        <w:tc>
          <w:tcPr>
            <w:tcW w:w="198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 федеральный</w:t>
            </w:r>
          </w:p>
        </w:tc>
      </w:tr>
      <w:tr w:rsidR="003D521F">
        <w:trPr>
          <w:trHeight w:val="828"/>
        </w:trPr>
        <w:tc>
          <w:tcPr>
            <w:tcW w:w="481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педагогических работников, прошедших обучение по ДПП ПК, чел.</w:t>
            </w:r>
          </w:p>
        </w:tc>
        <w:tc>
          <w:tcPr>
            <w:tcW w:w="2551"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98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 информации</w:t>
            </w:r>
          </w:p>
        </w:tc>
      </w:tr>
      <w:tr w:rsidR="003D521F">
        <w:trPr>
          <w:trHeight w:val="828"/>
        </w:trPr>
        <w:tc>
          <w:tcPr>
            <w:tcW w:w="481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педагогических работников, прошедших обучение по ДПП ПК в дистанционной форме, чел.</w:t>
            </w:r>
          </w:p>
        </w:tc>
        <w:tc>
          <w:tcPr>
            <w:tcW w:w="2551"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98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r>
      <w:tr w:rsidR="003D521F">
        <w:trPr>
          <w:trHeight w:val="828"/>
        </w:trPr>
        <w:tc>
          <w:tcPr>
            <w:tcW w:w="4815"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педагогических работников, прошедших обучение по ДПП ПК в дистанционной форме, %</w:t>
            </w:r>
          </w:p>
        </w:tc>
        <w:tc>
          <w:tcPr>
            <w:tcW w:w="2551"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p>
        </w:tc>
        <w:tc>
          <w:tcPr>
            <w:tcW w:w="1985" w:type="dxa"/>
            <w:vAlign w:val="center"/>
          </w:tcPr>
          <w:p w:rsidR="003D521F" w:rsidRDefault="003D521F">
            <w:pPr>
              <w:tabs>
                <w:tab w:val="left" w:pos="3165"/>
              </w:tabs>
              <w:jc w:val="center"/>
              <w:rPr>
                <w:rFonts w:ascii="Times New Roman" w:eastAsia="Times New Roman" w:hAnsi="Times New Roman" w:cs="Times New Roman"/>
                <w:sz w:val="24"/>
                <w:szCs w:val="24"/>
              </w:rPr>
            </w:pPr>
          </w:p>
        </w:tc>
      </w:tr>
    </w:tbl>
    <w:p w:rsidR="003D521F" w:rsidRDefault="007807CB" w:rsidP="005B7355">
      <w:pPr>
        <w:spacing w:after="0"/>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Вывод: </w:t>
      </w:r>
    </w:p>
    <w:p w:rsidR="003D521F" w:rsidRDefault="007807CB" w:rsidP="00372943">
      <w:pPr>
        <w:tabs>
          <w:tab w:val="left" w:pos="3165"/>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Статистические данные показывают, что на муниципальном уровне плановый показатель (60%) достигнут и составляет 59%. На региональном и федеральном уровнях долю педагогов, прошедших обучение по ДПП ПК в дистанционной форме, показать нет возможности из-за отсутствия данных по общему количеству прошедших обучение по ДПП ПК.</w:t>
      </w:r>
    </w:p>
    <w:p w:rsidR="00372943" w:rsidRPr="00372943" w:rsidRDefault="00372943" w:rsidP="00372943">
      <w:pPr>
        <w:tabs>
          <w:tab w:val="left" w:pos="3165"/>
        </w:tabs>
        <w:ind w:firstLine="851"/>
        <w:jc w:val="both"/>
        <w:rPr>
          <w:rFonts w:ascii="Times New Roman" w:eastAsia="Times New Roman" w:hAnsi="Times New Roman" w:cs="Times New Roman"/>
          <w:sz w:val="24"/>
          <w:szCs w:val="24"/>
        </w:rPr>
      </w:pPr>
    </w:p>
    <w:p w:rsidR="003D521F" w:rsidRDefault="007807CB">
      <w:pPr>
        <w:tabs>
          <w:tab w:val="left" w:pos="3165"/>
        </w:tabs>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6.2.7. Доля разработанных муниципальных программ дополнительного профессионального образования, реализуемых с применением электронного обучения / дистанционн</w:t>
      </w:r>
      <w:r w:rsidR="00372943">
        <w:rPr>
          <w:rFonts w:ascii="Times New Roman" w:eastAsia="Times New Roman" w:hAnsi="Times New Roman" w:cs="Times New Roman"/>
          <w:sz w:val="24"/>
          <w:szCs w:val="24"/>
          <w:u w:val="single"/>
        </w:rPr>
        <w:t>ых образовательных технологий</w:t>
      </w: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843"/>
      </w:tblGrid>
      <w:tr w:rsidR="003D521F">
        <w:tc>
          <w:tcPr>
            <w:tcW w:w="7508"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tc>
        <w:tc>
          <w:tcPr>
            <w:tcW w:w="1843"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3D521F">
        <w:tc>
          <w:tcPr>
            <w:tcW w:w="7508"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реализованных муниципальных программ дополнительного профессионального образования</w:t>
            </w:r>
          </w:p>
        </w:tc>
        <w:tc>
          <w:tcPr>
            <w:tcW w:w="1843"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D521F">
        <w:tc>
          <w:tcPr>
            <w:tcW w:w="7508"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разработанных в 2021 году муниципальных программ дополнительного профессионального образования</w:t>
            </w:r>
          </w:p>
        </w:tc>
        <w:tc>
          <w:tcPr>
            <w:tcW w:w="1843"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D521F">
        <w:tc>
          <w:tcPr>
            <w:tcW w:w="7508"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разработанных в 2021 году муниципальных программ дополнительного профессионального образования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реализуемых с применением электронного обучения / дистанционных образовательных технологий</w:t>
            </w:r>
          </w:p>
        </w:tc>
        <w:tc>
          <w:tcPr>
            <w:tcW w:w="1843"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D521F">
        <w:tc>
          <w:tcPr>
            <w:tcW w:w="7508" w:type="dxa"/>
            <w:vAlign w:val="center"/>
          </w:tcPr>
          <w:p w:rsidR="003D521F" w:rsidRDefault="007807CB">
            <w:pPr>
              <w:tabs>
                <w:tab w:val="left" w:pos="3165"/>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разработанных в 2021 году муниципальных программ дополнительного профессионального образования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реализуемых с применением электронного обучения / дистанционных образовательных технологий</w:t>
            </w:r>
          </w:p>
        </w:tc>
        <w:tc>
          <w:tcPr>
            <w:tcW w:w="1843" w:type="dxa"/>
            <w:vAlign w:val="center"/>
          </w:tcPr>
          <w:p w:rsidR="003D521F" w:rsidRDefault="007807CB">
            <w:pPr>
              <w:tabs>
                <w:tab w:val="left" w:pos="31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3D521F" w:rsidRDefault="003D521F">
      <w:pPr>
        <w:tabs>
          <w:tab w:val="left" w:pos="3165"/>
        </w:tabs>
        <w:rPr>
          <w:rFonts w:ascii="Times New Roman" w:eastAsia="Times New Roman" w:hAnsi="Times New Roman" w:cs="Times New Roman"/>
          <w:sz w:val="24"/>
          <w:szCs w:val="24"/>
        </w:rPr>
      </w:pPr>
    </w:p>
    <w:p w:rsidR="003D521F" w:rsidRDefault="007807CB" w:rsidP="00372943">
      <w:pPr>
        <w:tabs>
          <w:tab w:val="left" w:pos="3165"/>
        </w:tabs>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Дополнительные профессиональные программы повышения квалификации (ДПП </w:t>
      </w:r>
      <w:bookmarkStart w:id="1" w:name="_GoBack"/>
      <w:bookmarkEnd w:id="1"/>
      <w:r>
        <w:rPr>
          <w:rFonts w:ascii="Times New Roman" w:eastAsia="Times New Roman" w:hAnsi="Times New Roman" w:cs="Times New Roman"/>
          <w:sz w:val="24"/>
          <w:szCs w:val="24"/>
        </w:rPr>
        <w:t xml:space="preserve">ПК), разработанные в 2021 году: </w:t>
      </w:r>
    </w:p>
    <w:p w:rsidR="003D521F" w:rsidRDefault="007807CB">
      <w:pPr>
        <w:numPr>
          <w:ilvl w:val="0"/>
          <w:numId w:val="2"/>
        </w:numPr>
        <w:pBdr>
          <w:top w:val="nil"/>
          <w:left w:val="nil"/>
          <w:bottom w:val="nil"/>
          <w:right w:val="nil"/>
          <w:between w:val="nil"/>
        </w:pBdr>
        <w:tabs>
          <w:tab w:val="left" w:pos="316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интерактивного образовательного контента с помощью сервиса </w:t>
      </w:r>
      <w:proofErr w:type="spellStart"/>
      <w:r>
        <w:rPr>
          <w:rFonts w:ascii="Times New Roman" w:eastAsia="Times New Roman" w:hAnsi="Times New Roman" w:cs="Times New Roman"/>
          <w:color w:val="000000"/>
          <w:sz w:val="24"/>
          <w:szCs w:val="24"/>
        </w:rPr>
        <w:t>Genially</w:t>
      </w:r>
      <w:proofErr w:type="spellEnd"/>
    </w:p>
    <w:p w:rsidR="003D521F" w:rsidRDefault="007807CB">
      <w:pPr>
        <w:numPr>
          <w:ilvl w:val="0"/>
          <w:numId w:val="2"/>
        </w:numPr>
        <w:pBdr>
          <w:top w:val="nil"/>
          <w:left w:val="nil"/>
          <w:bottom w:val="nil"/>
          <w:right w:val="nil"/>
          <w:between w:val="nil"/>
        </w:pBdr>
        <w:tabs>
          <w:tab w:val="left" w:pos="316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дидактических игр для дошкольников с помощью конструктора </w:t>
      </w:r>
      <w:proofErr w:type="spellStart"/>
      <w:r>
        <w:rPr>
          <w:rFonts w:ascii="Times New Roman" w:eastAsia="Times New Roman" w:hAnsi="Times New Roman" w:cs="Times New Roman"/>
          <w:color w:val="000000"/>
          <w:sz w:val="24"/>
          <w:szCs w:val="24"/>
        </w:rPr>
        <w:t>TinyTap</w:t>
      </w:r>
      <w:proofErr w:type="spellEnd"/>
    </w:p>
    <w:p w:rsidR="003D521F" w:rsidRDefault="007807CB">
      <w:pPr>
        <w:numPr>
          <w:ilvl w:val="0"/>
          <w:numId w:val="2"/>
        </w:numPr>
        <w:pBdr>
          <w:top w:val="nil"/>
          <w:left w:val="nil"/>
          <w:bottom w:val="nil"/>
          <w:right w:val="nil"/>
          <w:between w:val="nil"/>
        </w:pBdr>
        <w:tabs>
          <w:tab w:val="left" w:pos="316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самооценка педагога</w:t>
      </w:r>
    </w:p>
    <w:p w:rsidR="003D521F" w:rsidRDefault="007807CB">
      <w:pPr>
        <w:numPr>
          <w:ilvl w:val="0"/>
          <w:numId w:val="2"/>
        </w:numPr>
        <w:pBdr>
          <w:top w:val="nil"/>
          <w:left w:val="nil"/>
          <w:bottom w:val="nil"/>
          <w:right w:val="nil"/>
          <w:between w:val="nil"/>
        </w:pBdr>
        <w:tabs>
          <w:tab w:val="left" w:pos="316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образовательные практики в условиях реализации ФГОС ОО: модель обучения "Перевернутый класс"</w:t>
      </w:r>
    </w:p>
    <w:p w:rsidR="003D521F" w:rsidRDefault="007807C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Вывод: </w:t>
      </w:r>
      <w:r>
        <w:rPr>
          <w:rFonts w:ascii="Times New Roman" w:eastAsia="Times New Roman" w:hAnsi="Times New Roman" w:cs="Times New Roman"/>
          <w:sz w:val="24"/>
          <w:szCs w:val="24"/>
        </w:rPr>
        <w:t>100% муниципальных программ дополнительного профессионального образования, разработанных за отчётный период, были реализованы с применением электронного обучения / дистанционных образовательных технологий. Данный показатель значительно превышает прогнозный показатель. Это объясняется сложившейся эпидемиологической ситуацией.</w:t>
      </w:r>
    </w:p>
    <w:p w:rsidR="003D521F" w:rsidRDefault="003D521F">
      <w:pPr>
        <w:spacing w:after="0"/>
        <w:jc w:val="both"/>
        <w:rPr>
          <w:rFonts w:ascii="Times New Roman" w:eastAsia="Times New Roman" w:hAnsi="Times New Roman" w:cs="Times New Roman"/>
          <w:sz w:val="24"/>
          <w:szCs w:val="24"/>
        </w:rPr>
      </w:pPr>
    </w:p>
    <w:p w:rsidR="003D521F" w:rsidRDefault="003D521F">
      <w:pPr>
        <w:spacing w:after="0"/>
        <w:jc w:val="both"/>
        <w:rPr>
          <w:rFonts w:ascii="Times New Roman" w:eastAsia="Times New Roman" w:hAnsi="Times New Roman" w:cs="Times New Roman"/>
          <w:sz w:val="24"/>
          <w:szCs w:val="24"/>
        </w:rPr>
      </w:pPr>
    </w:p>
    <w:p w:rsidR="003D521F" w:rsidRDefault="007807CB">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6.2.8. Доля образовательных организаций, принявших участие в программах повышения квалификации управленческих команд</w:t>
      </w:r>
    </w:p>
    <w:p w:rsidR="003D521F" w:rsidRDefault="007807CB" w:rsidP="00372943">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количество образовательных организаций, принявших участие в программах повышения квалификации управленческих команд, было 6, что составило 35% от количества образовательных организаций ЛГО.</w:t>
      </w:r>
    </w:p>
    <w:p w:rsidR="003D521F" w:rsidRDefault="007807CB" w:rsidP="00372943">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количество образовательных организаций, принявших участие в программах повышения квалификации управленческих команд, стало 11, что составило 64% от количества образовательных организаций ЛГО.</w:t>
      </w:r>
    </w:p>
    <w:p w:rsidR="003D521F" w:rsidRDefault="007807CB" w:rsidP="00372943">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отчетного показателя с прогнозным значением (42%) указывает на положительную динамику.</w:t>
      </w:r>
    </w:p>
    <w:p w:rsidR="003D521F" w:rsidRDefault="003D521F" w:rsidP="00372943">
      <w:pPr>
        <w:spacing w:after="0"/>
        <w:jc w:val="both"/>
        <w:rPr>
          <w:rFonts w:ascii="Times New Roman" w:eastAsia="Times New Roman" w:hAnsi="Times New Roman" w:cs="Times New Roman"/>
          <w:sz w:val="24"/>
          <w:szCs w:val="24"/>
          <w:u w:val="single"/>
        </w:rPr>
      </w:pPr>
    </w:p>
    <w:p w:rsidR="003D521F" w:rsidRDefault="007807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Вовлечение педагогов в экспертную деятельность</w:t>
      </w:r>
    </w:p>
    <w:p w:rsidR="003D521F" w:rsidRDefault="003D521F">
      <w:pPr>
        <w:spacing w:after="0"/>
        <w:jc w:val="both"/>
        <w:rPr>
          <w:rFonts w:ascii="Times New Roman" w:eastAsia="Times New Roman" w:hAnsi="Times New Roman" w:cs="Times New Roman"/>
          <w:sz w:val="24"/>
          <w:szCs w:val="24"/>
        </w:rPr>
      </w:pPr>
    </w:p>
    <w:tbl>
      <w:tblPr>
        <w:tblStyle w:val="20"/>
        <w:tblW w:w="0" w:type="auto"/>
        <w:tblLayout w:type="fixed"/>
        <w:tblLook w:val="04A0" w:firstRow="1" w:lastRow="0" w:firstColumn="1" w:lastColumn="0" w:noHBand="0" w:noVBand="1"/>
      </w:tblPr>
      <w:tblGrid>
        <w:gridCol w:w="1980"/>
        <w:gridCol w:w="850"/>
        <w:gridCol w:w="6514"/>
      </w:tblGrid>
      <w:tr w:rsidR="00485BE2" w:rsidRPr="00485BE2" w:rsidTr="004B4795">
        <w:tc>
          <w:tcPr>
            <w:tcW w:w="1980" w:type="dxa"/>
          </w:tcPr>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Показатель:</w:t>
            </w: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Не менее 4 в год</w:t>
            </w:r>
          </w:p>
        </w:tc>
        <w:tc>
          <w:tcPr>
            <w:tcW w:w="85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Кол. приказов</w:t>
            </w:r>
          </w:p>
        </w:tc>
        <w:tc>
          <w:tcPr>
            <w:tcW w:w="6514"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Наименование приказов, подтверждающих вовлечение педагогов в экспертную деятельность, со ссылкой  </w:t>
            </w:r>
          </w:p>
        </w:tc>
      </w:tr>
      <w:tr w:rsidR="00485BE2" w:rsidRPr="00485BE2" w:rsidTr="004B4795">
        <w:tc>
          <w:tcPr>
            <w:tcW w:w="1980" w:type="dxa"/>
          </w:tcPr>
          <w:p w:rsidR="00485BE2" w:rsidRPr="00485BE2" w:rsidRDefault="00485BE2" w:rsidP="00485BE2">
            <w:pPr>
              <w:pBdr>
                <w:top w:val="nil"/>
                <w:left w:val="nil"/>
                <w:bottom w:val="nil"/>
                <w:right w:val="nil"/>
                <w:between w:val="nil"/>
              </w:pBdr>
              <w:tabs>
                <w:tab w:val="left" w:pos="-1134"/>
                <w:tab w:val="left" w:pos="567"/>
              </w:tabs>
              <w:spacing w:before="120" w:after="120" w:line="240" w:lineRule="exact"/>
              <w:ind w:right="34"/>
              <w:rPr>
                <w:rFonts w:ascii="Times New Roman" w:eastAsia="Times New Roman" w:hAnsi="Times New Roman" w:cs="Times New Roman"/>
                <w:sz w:val="24"/>
                <w:szCs w:val="24"/>
              </w:rPr>
            </w:pPr>
            <w:r w:rsidRPr="00485BE2">
              <w:rPr>
                <w:rFonts w:ascii="Times New Roman" w:eastAsia="Times New Roman" w:hAnsi="Times New Roman" w:cs="Times New Roman"/>
                <w:sz w:val="24"/>
                <w:szCs w:val="24"/>
              </w:rPr>
              <w:lastRenderedPageBreak/>
              <w:t>Нормативные правовые акты, подтверждающие вовлечение педагогов в экспертную деятельность, в том числе по следующим направлениям деятельности:</w:t>
            </w:r>
          </w:p>
          <w:p w:rsidR="00485BE2" w:rsidRPr="00485BE2" w:rsidRDefault="00485BE2" w:rsidP="00485BE2">
            <w:pPr>
              <w:numPr>
                <w:ilvl w:val="0"/>
                <w:numId w:val="10"/>
              </w:numPr>
              <w:pBdr>
                <w:top w:val="nil"/>
                <w:left w:val="nil"/>
                <w:bottom w:val="nil"/>
                <w:right w:val="nil"/>
                <w:between w:val="nil"/>
              </w:pBdr>
              <w:tabs>
                <w:tab w:val="left" w:pos="-1134"/>
              </w:tabs>
              <w:spacing w:before="120" w:after="120" w:line="240" w:lineRule="exact"/>
              <w:ind w:left="29" w:right="34" w:firstLine="331"/>
              <w:rPr>
                <w:rFonts w:ascii="Times New Roman" w:eastAsia="Times New Roman" w:hAnsi="Times New Roman" w:cs="Times New Roman"/>
                <w:sz w:val="24"/>
                <w:szCs w:val="24"/>
              </w:rPr>
            </w:pPr>
            <w:r w:rsidRPr="00485BE2">
              <w:rPr>
                <w:rFonts w:ascii="Times New Roman" w:eastAsia="Times New Roman" w:hAnsi="Times New Roman" w:cs="Times New Roman"/>
                <w:sz w:val="24"/>
                <w:szCs w:val="24"/>
              </w:rPr>
              <w:t>проведение государственной итоговой аттестации;</w:t>
            </w:r>
          </w:p>
          <w:p w:rsidR="00485BE2" w:rsidRPr="00485BE2" w:rsidRDefault="00485BE2" w:rsidP="00485BE2">
            <w:pPr>
              <w:pBdr>
                <w:top w:val="nil"/>
                <w:left w:val="nil"/>
                <w:bottom w:val="nil"/>
                <w:right w:val="nil"/>
                <w:between w:val="nil"/>
              </w:pBdr>
              <w:tabs>
                <w:tab w:val="left" w:pos="-1134"/>
                <w:tab w:val="left" w:pos="567"/>
              </w:tabs>
              <w:spacing w:before="120" w:after="120" w:line="240" w:lineRule="exact"/>
              <w:ind w:right="34"/>
              <w:rPr>
                <w:rFonts w:ascii="Times New Roman" w:eastAsia="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numPr>
                <w:ilvl w:val="0"/>
                <w:numId w:val="10"/>
              </w:numPr>
              <w:ind w:left="0" w:firstLine="360"/>
              <w:contextualSpacing/>
              <w:rPr>
                <w:rFonts w:ascii="Times New Roman" w:hAnsi="Times New Roman" w:cs="Times New Roman"/>
                <w:sz w:val="24"/>
                <w:szCs w:val="24"/>
              </w:rPr>
            </w:pPr>
            <w:r w:rsidRPr="00485BE2">
              <w:rPr>
                <w:rFonts w:ascii="Times New Roman" w:hAnsi="Times New Roman" w:cs="Times New Roman"/>
                <w:sz w:val="24"/>
                <w:szCs w:val="24"/>
              </w:rPr>
              <w:t>проведение аттестации педагогических работников</w:t>
            </w: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numPr>
                <w:ilvl w:val="0"/>
                <w:numId w:val="10"/>
              </w:numPr>
              <w:ind w:left="0" w:firstLine="360"/>
              <w:contextualSpacing/>
              <w:rPr>
                <w:rFonts w:ascii="Times New Roman" w:hAnsi="Times New Roman" w:cs="Times New Roman"/>
                <w:sz w:val="24"/>
                <w:szCs w:val="24"/>
              </w:rPr>
            </w:pPr>
            <w:r w:rsidRPr="00485BE2">
              <w:rPr>
                <w:rFonts w:ascii="Times New Roman" w:hAnsi="Times New Roman" w:cs="Times New Roman"/>
                <w:sz w:val="24"/>
                <w:szCs w:val="24"/>
              </w:rPr>
              <w:t>проведение конкурсов профессионального мастерства и иных мероприятий для педагогических работников;</w:t>
            </w:r>
          </w:p>
        </w:tc>
        <w:tc>
          <w:tcPr>
            <w:tcW w:w="850" w:type="dxa"/>
          </w:tcPr>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2</w:t>
            </w: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2</w:t>
            </w: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2</w:t>
            </w:r>
          </w:p>
        </w:tc>
        <w:tc>
          <w:tcPr>
            <w:tcW w:w="6514" w:type="dxa"/>
          </w:tcPr>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Министерства образования и науки Пермского края от 14.05.2021 № СЭД – 26 – 01 – 06 – 534 «Об утверждении состава предметных комиссий по общеобразовательным предметам для проверки работ ЕГЭ и государственного экзамена, категории экспертов, наличии допуска к третьей проверке и проверке апелляционных работ на территории Пермского края в основной и дополнительный периоды в 2021 г.»; </w:t>
            </w:r>
            <w:hyperlink r:id="rId7" w:history="1">
              <w:r w:rsidRPr="00485BE2">
                <w:rPr>
                  <w:rFonts w:ascii="Times New Roman" w:hAnsi="Times New Roman" w:cs="Times New Roman"/>
                  <w:color w:val="0563C1" w:themeColor="hyperlink"/>
                  <w:sz w:val="24"/>
                  <w:szCs w:val="24"/>
                  <w:u w:val="single"/>
                </w:rPr>
                <w:t>https://minobr.permkrai.ru/dokumenty/41057/?sphrase_id=139450</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от 19.05.2021 № СЭД – 26 – 01 – 06 – 557 «Об утверждении состава предметных комиссий для проверки экзаменационных работ по программам основного общего образования, категории экспертов, наличии допуска к третьей проверке и проверке апелляционных работ на территории Пермского края в основной и дополнительный периоды в 2021 г.» </w:t>
            </w:r>
            <w:hyperlink r:id="rId8" w:history="1">
              <w:r w:rsidRPr="00485BE2">
                <w:rPr>
                  <w:rFonts w:ascii="Times New Roman" w:hAnsi="Times New Roman" w:cs="Times New Roman"/>
                  <w:color w:val="0563C1" w:themeColor="hyperlink"/>
                  <w:sz w:val="24"/>
                  <w:szCs w:val="24"/>
                  <w:u w:val="single"/>
                </w:rPr>
                <w:t>https://minobr.permkrai.ru/dokumenty/73351/?sphrase_id=139451</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Приказ Министерства образования и науки Пермского края от 06.10.2021 № 26-01-06-988 «Об утверждении состава аттестационной комиссии Министерства образования и науки Пермского края на 2021-2022 учебный год   </w:t>
            </w:r>
          </w:p>
          <w:p w:rsidR="00485BE2" w:rsidRPr="00485BE2" w:rsidRDefault="00F12B16" w:rsidP="00485BE2">
            <w:pPr>
              <w:rPr>
                <w:rFonts w:ascii="Times New Roman" w:hAnsi="Times New Roman" w:cs="Times New Roman"/>
                <w:sz w:val="24"/>
                <w:szCs w:val="24"/>
              </w:rPr>
            </w:pPr>
            <w:hyperlink r:id="rId9" w:history="1">
              <w:r w:rsidR="00485BE2" w:rsidRPr="00485BE2">
                <w:rPr>
                  <w:rFonts w:ascii="Times New Roman" w:hAnsi="Times New Roman" w:cs="Times New Roman"/>
                  <w:color w:val="0563C1" w:themeColor="hyperlink"/>
                  <w:sz w:val="24"/>
                  <w:szCs w:val="24"/>
                  <w:u w:val="single"/>
                </w:rPr>
                <w:t>https://minobr.permkrai.ru/dokumenty/143505/?sphrase_id=139455</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Приказ Министерства образования и науки Пермского края от 21.10.2021 № 26-01-06-1038 «О внесении изменения в состав территориальных аттестационных комиссий аттестационной комиссии Министерства образования и науки Пермского края на 2021-2022 учебный год, утвержденный приказом Министерства образования и науки Пермского края от 06 октября 2021 г. № 26-01-06-988 «Об утверждении состава аттестационной комиссии Министерства образования и науки Пермского края на 2021-2022 учебный год»</w:t>
            </w:r>
          </w:p>
          <w:p w:rsidR="00485BE2" w:rsidRPr="00485BE2" w:rsidRDefault="00F12B16" w:rsidP="00485BE2">
            <w:pPr>
              <w:rPr>
                <w:rFonts w:ascii="Times New Roman" w:hAnsi="Times New Roman" w:cs="Times New Roman"/>
                <w:sz w:val="24"/>
                <w:szCs w:val="24"/>
              </w:rPr>
            </w:pPr>
            <w:hyperlink r:id="rId10" w:history="1">
              <w:r w:rsidR="00485BE2" w:rsidRPr="00485BE2">
                <w:rPr>
                  <w:rFonts w:ascii="Times New Roman" w:hAnsi="Times New Roman" w:cs="Times New Roman"/>
                  <w:color w:val="0563C1" w:themeColor="hyperlink"/>
                  <w:sz w:val="24"/>
                  <w:szCs w:val="24"/>
                  <w:u w:val="single"/>
                </w:rPr>
                <w:t>https://minobr.permkrai.ru/dokumenty/151212/?sphrase_id=139457</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Приказ начальника управления образования администрации г. Лысьва от 18.01.2021 № 13/01 – 08 «Об утверждении Положения, состава Экспертного жюри и критериев конкурсных испытаний муниципального этапа Всероссийского конкурса профессионального мастерства «Учитель года - 2021» </w:t>
            </w:r>
            <w:hyperlink r:id="rId11" w:history="1">
              <w:r w:rsidRPr="00485BE2">
                <w:rPr>
                  <w:rFonts w:ascii="Times New Roman" w:hAnsi="Times New Roman" w:cs="Times New Roman"/>
                  <w:color w:val="0563C1" w:themeColor="hyperlink"/>
                  <w:sz w:val="24"/>
                  <w:szCs w:val="24"/>
                  <w:u w:val="single"/>
                </w:rPr>
                <w:t>https://lysva.biz/uploads/files/2021/01.2021/Приказ__2_ПоложениеКритерии_4c7f7.pdf</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Приказ МАУ ДПО «ЦНМО» от 10.03.2021 № 52 «Об утверждении состава жюри муниципальной </w:t>
            </w:r>
            <w:proofErr w:type="spellStart"/>
            <w:r w:rsidRPr="00485BE2">
              <w:rPr>
                <w:rFonts w:ascii="Times New Roman" w:hAnsi="Times New Roman" w:cs="Times New Roman"/>
                <w:sz w:val="24"/>
                <w:szCs w:val="24"/>
              </w:rPr>
              <w:t>метапредметной</w:t>
            </w:r>
            <w:proofErr w:type="spellEnd"/>
            <w:r w:rsidRPr="00485BE2">
              <w:rPr>
                <w:rFonts w:ascii="Times New Roman" w:hAnsi="Times New Roman" w:cs="Times New Roman"/>
                <w:sz w:val="24"/>
                <w:szCs w:val="24"/>
              </w:rPr>
              <w:t xml:space="preserve"> олимпиады» </w:t>
            </w:r>
            <w:hyperlink r:id="rId12" w:history="1">
              <w:r w:rsidRPr="00485BE2">
                <w:rPr>
                  <w:rFonts w:ascii="Times New Roman" w:hAnsi="Times New Roman" w:cs="Times New Roman"/>
                  <w:color w:val="0563C1" w:themeColor="hyperlink"/>
                  <w:sz w:val="24"/>
                  <w:szCs w:val="24"/>
                  <w:u w:val="single"/>
                </w:rPr>
                <w:t>https://lysva.biz/uploads/files/2021/03.2021/ГМММ_приказ_жюри_метапредметная_олимпиада_compressed_39b71.pdf</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p>
        </w:tc>
      </w:tr>
      <w:tr w:rsidR="00485BE2" w:rsidRPr="00485BE2" w:rsidTr="004B4795">
        <w:tc>
          <w:tcPr>
            <w:tcW w:w="198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lastRenderedPageBreak/>
              <w:t>Доля педагогических работников, вошедших в региональный методический актив по результатам оценки предметных и методических компетенций учителей, от общего числа педагогических работников</w:t>
            </w:r>
          </w:p>
        </w:tc>
        <w:tc>
          <w:tcPr>
            <w:tcW w:w="85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3</w:t>
            </w:r>
          </w:p>
        </w:tc>
        <w:tc>
          <w:tcPr>
            <w:tcW w:w="6514"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 Информационная справка по итогам проведения оценки методических компетенций учителей в 2020 году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 </w:t>
            </w:r>
            <w:hyperlink r:id="rId13" w:history="1">
              <w:r w:rsidRPr="00485BE2">
                <w:rPr>
                  <w:rFonts w:ascii="Times New Roman" w:hAnsi="Times New Roman" w:cs="Times New Roman"/>
                  <w:color w:val="0563C1" w:themeColor="hyperlink"/>
                  <w:sz w:val="24"/>
                  <w:szCs w:val="24"/>
                  <w:u w:val="single"/>
                </w:rPr>
                <w:t>https://minobr.permkrai.ru/upload/iblock/c1a/c8mx2hbxpuvfc4wq0xsu7v3108972ny8.pdf</w:t>
              </w:r>
            </w:hyperlink>
          </w:p>
          <w:p w:rsidR="00485BE2" w:rsidRPr="00485BE2" w:rsidRDefault="00485BE2" w:rsidP="00485BE2">
            <w:pPr>
              <w:rPr>
                <w:rFonts w:ascii="Times New Roman" w:hAnsi="Times New Roman" w:cs="Times New Roman"/>
                <w:sz w:val="24"/>
                <w:szCs w:val="24"/>
              </w:rPr>
            </w:pPr>
          </w:p>
        </w:tc>
      </w:tr>
      <w:tr w:rsidR="00485BE2" w:rsidRPr="00485BE2" w:rsidTr="004B4795">
        <w:tc>
          <w:tcPr>
            <w:tcW w:w="198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Количество педагогических работников, вошедших в реестр экспертов метапредметных конкурсов и олимпиад Пермского края</w:t>
            </w:r>
          </w:p>
        </w:tc>
        <w:tc>
          <w:tcPr>
            <w:tcW w:w="85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10</w:t>
            </w:r>
          </w:p>
        </w:tc>
        <w:tc>
          <w:tcPr>
            <w:tcW w:w="6514"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Приказ Министерства образования и науки Пермского края от 31.12.2020 № СЭД-26-01-06-796 «О внесении изменений в Реестр экспертов метапредметных конкурсов и олимпиад Пермского края, утвержденный приказом Министерства образования и науки Пермского края от 06.12.2019 № СЭД-26-01-06-1189»</w:t>
            </w:r>
          </w:p>
          <w:p w:rsidR="00485BE2" w:rsidRPr="00485BE2" w:rsidRDefault="00F12B16" w:rsidP="00485BE2">
            <w:pPr>
              <w:rPr>
                <w:rFonts w:ascii="Times New Roman" w:hAnsi="Times New Roman" w:cs="Times New Roman"/>
                <w:sz w:val="24"/>
                <w:szCs w:val="24"/>
              </w:rPr>
            </w:pPr>
            <w:hyperlink r:id="rId14" w:history="1">
              <w:r w:rsidR="00485BE2" w:rsidRPr="00485BE2">
                <w:rPr>
                  <w:rFonts w:ascii="Times New Roman" w:hAnsi="Times New Roman" w:cs="Times New Roman"/>
                  <w:color w:val="0563C1" w:themeColor="hyperlink"/>
                  <w:sz w:val="24"/>
                  <w:szCs w:val="24"/>
                  <w:u w:val="single"/>
                </w:rPr>
                <w:t>https://minobr.permkrai.ru/upload/iblock/e9a/pueowno6eqzkoi1eaw5dqlvh6ocd7ry0.pdf</w:t>
              </w:r>
            </w:hyperlink>
          </w:p>
          <w:p w:rsidR="00485BE2" w:rsidRPr="00485BE2" w:rsidRDefault="00485BE2" w:rsidP="00485BE2">
            <w:pPr>
              <w:rPr>
                <w:rFonts w:ascii="Times New Roman" w:hAnsi="Times New Roman" w:cs="Times New Roman"/>
                <w:sz w:val="24"/>
                <w:szCs w:val="24"/>
              </w:rPr>
            </w:pPr>
          </w:p>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Приказ Министерства образования и науки Пермского края от 06.12.2019 № СЭД-26-01-06-1189 «Об утверждении Реестра экспертов метапредметных конкурсов и олимпиад Пермского края»</w:t>
            </w:r>
          </w:p>
          <w:p w:rsidR="00485BE2" w:rsidRPr="00485BE2" w:rsidRDefault="00F12B16" w:rsidP="00485BE2">
            <w:pPr>
              <w:rPr>
                <w:rFonts w:ascii="Times New Roman" w:hAnsi="Times New Roman" w:cs="Times New Roman"/>
                <w:sz w:val="24"/>
                <w:szCs w:val="24"/>
              </w:rPr>
            </w:pPr>
            <w:hyperlink r:id="rId15" w:history="1">
              <w:r w:rsidR="00485BE2" w:rsidRPr="00485BE2">
                <w:rPr>
                  <w:rFonts w:ascii="Times New Roman" w:hAnsi="Times New Roman" w:cs="Times New Roman"/>
                  <w:color w:val="0563C1" w:themeColor="hyperlink"/>
                  <w:sz w:val="24"/>
                  <w:szCs w:val="24"/>
                  <w:u w:val="single"/>
                </w:rPr>
                <w:t>https://minobr.permkrai.ru/upload/iblock/214/37sb1xc2qjyk7erkh32517rgy2tecfvz.pdf</w:t>
              </w:r>
            </w:hyperlink>
          </w:p>
          <w:p w:rsidR="00485BE2" w:rsidRPr="00485BE2" w:rsidRDefault="00485BE2" w:rsidP="00485BE2">
            <w:pPr>
              <w:rPr>
                <w:rFonts w:ascii="Times New Roman" w:hAnsi="Times New Roman" w:cs="Times New Roman"/>
                <w:sz w:val="24"/>
                <w:szCs w:val="24"/>
              </w:rPr>
            </w:pPr>
          </w:p>
        </w:tc>
      </w:tr>
      <w:tr w:rsidR="00485BE2" w:rsidRPr="00485BE2" w:rsidTr="004B4795">
        <w:tc>
          <w:tcPr>
            <w:tcW w:w="198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Количество педагогических работников, вошедших в реестр муниципальной службы педагогического аудита, ед.</w:t>
            </w:r>
          </w:p>
        </w:tc>
        <w:tc>
          <w:tcPr>
            <w:tcW w:w="850" w:type="dxa"/>
          </w:tcPr>
          <w:p w:rsidR="00485BE2" w:rsidRPr="00485BE2" w:rsidRDefault="00485BE2" w:rsidP="00485BE2">
            <w:pPr>
              <w:rPr>
                <w:rFonts w:ascii="Times New Roman" w:hAnsi="Times New Roman" w:cs="Times New Roman"/>
                <w:sz w:val="24"/>
                <w:szCs w:val="24"/>
              </w:rPr>
            </w:pPr>
            <w:r>
              <w:rPr>
                <w:rFonts w:ascii="Times New Roman" w:hAnsi="Times New Roman" w:cs="Times New Roman"/>
                <w:sz w:val="24"/>
                <w:szCs w:val="24"/>
              </w:rPr>
              <w:t>40</w:t>
            </w:r>
          </w:p>
        </w:tc>
        <w:tc>
          <w:tcPr>
            <w:tcW w:w="6514"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Реестр муниципальных экспертов</w:t>
            </w:r>
          </w:p>
          <w:p w:rsidR="00485BE2" w:rsidRPr="00485BE2" w:rsidRDefault="00F12B16" w:rsidP="0048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563C1" w:themeColor="hyperlink"/>
                <w:sz w:val="24"/>
                <w:szCs w:val="24"/>
                <w:u w:val="single"/>
              </w:rPr>
            </w:pPr>
            <w:hyperlink r:id="rId16" w:history="1">
              <w:r w:rsidR="00485BE2" w:rsidRPr="00485BE2">
                <w:rPr>
                  <w:rFonts w:ascii="Times New Roman" w:hAnsi="Times New Roman" w:cs="Times New Roman"/>
                  <w:color w:val="0563C1" w:themeColor="hyperlink"/>
                  <w:sz w:val="24"/>
                  <w:szCs w:val="24"/>
                  <w:u w:val="single"/>
                </w:rPr>
                <w:t>https://lysva.biz/uploads/files/2022/01.2022/reestr_SPA_5669f.pdf</w:t>
              </w:r>
            </w:hyperlink>
          </w:p>
          <w:p w:rsidR="00485BE2" w:rsidRPr="00485BE2" w:rsidRDefault="00485BE2" w:rsidP="00485BE2">
            <w:pPr>
              <w:rPr>
                <w:rFonts w:ascii="Times New Roman" w:hAnsi="Times New Roman" w:cs="Times New Roman"/>
                <w:sz w:val="24"/>
                <w:szCs w:val="24"/>
              </w:rPr>
            </w:pPr>
          </w:p>
        </w:tc>
      </w:tr>
      <w:tr w:rsidR="00485BE2" w:rsidRPr="00485BE2" w:rsidTr="004B4795">
        <w:tc>
          <w:tcPr>
            <w:tcW w:w="198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 xml:space="preserve">Количество выданных </w:t>
            </w:r>
            <w:r w:rsidRPr="00485BE2">
              <w:rPr>
                <w:rFonts w:ascii="Times New Roman" w:hAnsi="Times New Roman" w:cs="Times New Roman"/>
                <w:sz w:val="24"/>
                <w:szCs w:val="24"/>
              </w:rPr>
              <w:lastRenderedPageBreak/>
              <w:t>экспертных заключений</w:t>
            </w:r>
          </w:p>
        </w:tc>
        <w:tc>
          <w:tcPr>
            <w:tcW w:w="850"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lastRenderedPageBreak/>
              <w:t>40</w:t>
            </w:r>
          </w:p>
        </w:tc>
        <w:tc>
          <w:tcPr>
            <w:tcW w:w="6514" w:type="dxa"/>
          </w:tcPr>
          <w:p w:rsidR="00485BE2" w:rsidRPr="00485BE2" w:rsidRDefault="00485BE2" w:rsidP="00485BE2">
            <w:pPr>
              <w:rPr>
                <w:rFonts w:ascii="Times New Roman" w:hAnsi="Times New Roman" w:cs="Times New Roman"/>
                <w:sz w:val="24"/>
                <w:szCs w:val="24"/>
              </w:rPr>
            </w:pPr>
            <w:r w:rsidRPr="00485BE2">
              <w:rPr>
                <w:rFonts w:ascii="Times New Roman" w:hAnsi="Times New Roman" w:cs="Times New Roman"/>
                <w:sz w:val="24"/>
                <w:szCs w:val="24"/>
              </w:rPr>
              <w:t>Отчет о работе Службы педагогического аудита, утвержденный на заседании Городского экспертно-методического совета, протокол № 4 от 25.12.2021</w:t>
            </w:r>
          </w:p>
          <w:p w:rsidR="00485BE2" w:rsidRPr="00485BE2" w:rsidRDefault="00F12B16" w:rsidP="0048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563C1" w:themeColor="hyperlink"/>
                <w:sz w:val="24"/>
                <w:szCs w:val="24"/>
                <w:u w:val="single"/>
              </w:rPr>
            </w:pPr>
            <w:hyperlink r:id="rId17" w:history="1">
              <w:r w:rsidR="00485BE2" w:rsidRPr="00485BE2">
                <w:rPr>
                  <w:rFonts w:ascii="Times New Roman" w:hAnsi="Times New Roman" w:cs="Times New Roman"/>
                  <w:color w:val="0563C1" w:themeColor="hyperlink"/>
                  <w:sz w:val="24"/>
                  <w:szCs w:val="24"/>
                  <w:u w:val="single"/>
                </w:rPr>
                <w:t>https://lysva.biz/uploads/files/2022/01.2022/otchet_o_rabote_b115b.pdf</w:t>
              </w:r>
            </w:hyperlink>
          </w:p>
        </w:tc>
      </w:tr>
    </w:tbl>
    <w:p w:rsidR="003D521F" w:rsidRDefault="007807C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Показатель «Количество выданных экспертных заключений» имеет положительную динамику по сравне</w:t>
      </w:r>
      <w:r w:rsidR="00372943">
        <w:rPr>
          <w:rFonts w:ascii="Times New Roman" w:eastAsia="Times New Roman" w:hAnsi="Times New Roman" w:cs="Times New Roman"/>
          <w:sz w:val="24"/>
          <w:szCs w:val="24"/>
        </w:rPr>
        <w:t>нию с прошлым годом (2020 г - 2021 г.</w:t>
      </w:r>
      <w:r>
        <w:rPr>
          <w:rFonts w:ascii="Times New Roman" w:eastAsia="Times New Roman" w:hAnsi="Times New Roman" w:cs="Times New Roman"/>
          <w:sz w:val="24"/>
          <w:szCs w:val="24"/>
        </w:rPr>
        <w:t>).</w:t>
      </w:r>
    </w:p>
    <w:p w:rsidR="003D521F" w:rsidRDefault="007807C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экспертов Службы педагогического аудита, включенных в муниципальный</w:t>
      </w:r>
      <w:r w:rsidR="00372943">
        <w:rPr>
          <w:rFonts w:ascii="Times New Roman" w:eastAsia="Times New Roman" w:hAnsi="Times New Roman" w:cs="Times New Roman"/>
          <w:sz w:val="24"/>
          <w:szCs w:val="24"/>
        </w:rPr>
        <w:t xml:space="preserve"> Реестр экспертов, составляет 40</w:t>
      </w:r>
      <w:r>
        <w:rPr>
          <w:rFonts w:ascii="Times New Roman" w:eastAsia="Times New Roman" w:hAnsi="Times New Roman" w:cs="Times New Roman"/>
          <w:sz w:val="24"/>
          <w:szCs w:val="24"/>
        </w:rPr>
        <w:t xml:space="preserve"> чел., что соответствует целевому показателю. </w:t>
      </w:r>
    </w:p>
    <w:p w:rsidR="003D521F" w:rsidRDefault="007807C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3 педагога вошли в региональный методический актив по результатам оценки предметных и методических компетенций учителей: учитель математики, учитель русского языка и учитель литературы. В 2020 г. представителей от территории не было, так что можно констатировать положительную динамику по данному направлению. Достижение целевого показателя будет зависеть от краевой квоты.</w:t>
      </w:r>
    </w:p>
    <w:p w:rsidR="003D521F" w:rsidRDefault="007807C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данных о включении педагогов ЛГО в Реестр экспертов метапредметных конкурсов и олимпиад Пермского края показывает положительную динамику: 2019 г. – 7 чел., 2020 г. – 10 чел. Целевой показатель 2021 г. достигнут.</w:t>
      </w:r>
    </w:p>
    <w:p w:rsidR="003D521F" w:rsidRDefault="007807C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отчетных показателей с прогнозными значениями свидетельствует о тенденции к перевыполнению показателя (не менее 4) к концу 2021 г. </w:t>
      </w:r>
    </w:p>
    <w:p w:rsidR="003D521F" w:rsidRDefault="007807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3D521F" w:rsidRDefault="007807CB">
      <w:pPr>
        <w:numPr>
          <w:ilvl w:val="0"/>
          <w:numId w:val="4"/>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Количество нормативных правовых актов, подтверждающих вовлечение педагогов в экспертную деятельность, соответствует целевому показателю. </w:t>
      </w:r>
    </w:p>
    <w:p w:rsidR="003D521F" w:rsidRDefault="007807CB">
      <w:pPr>
        <w:numPr>
          <w:ilvl w:val="0"/>
          <w:numId w:val="4"/>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педагогических работников, вошедших в региональный методический актив по результатам оценки предметных и методических компетенций учителей, соответствует целевому показателю.</w:t>
      </w:r>
    </w:p>
    <w:p w:rsidR="003D521F" w:rsidRDefault="007807CB">
      <w:pPr>
        <w:numPr>
          <w:ilvl w:val="0"/>
          <w:numId w:val="4"/>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педагогических работников, вошедших в реестр экспертов метапредметных конкурсов и олимпиад Пермского края, соответствует целевому показателю и показывает положительную динамику.</w:t>
      </w:r>
    </w:p>
    <w:p w:rsidR="003D521F" w:rsidRDefault="007807CB">
      <w:pPr>
        <w:numPr>
          <w:ilvl w:val="0"/>
          <w:numId w:val="4"/>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педагогических работников, вошедших в реестр муниципальной службы педагогического аудита, соответствует целевому показателю.</w:t>
      </w:r>
    </w:p>
    <w:p w:rsidR="003D521F" w:rsidRDefault="007807CB">
      <w:pPr>
        <w:numPr>
          <w:ilvl w:val="0"/>
          <w:numId w:val="4"/>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Показатель «Количество выданных экспертных заключений» имеет положительную динамику по сравнению с прошлым годом.</w:t>
      </w:r>
    </w:p>
    <w:p w:rsidR="003D521F" w:rsidRDefault="003D521F">
      <w:pPr>
        <w:spacing w:after="0"/>
        <w:jc w:val="both"/>
        <w:rPr>
          <w:rFonts w:ascii="Times New Roman" w:eastAsia="Times New Roman" w:hAnsi="Times New Roman" w:cs="Times New Roman"/>
          <w:b/>
          <w:sz w:val="24"/>
          <w:szCs w:val="24"/>
        </w:rPr>
      </w:pPr>
    </w:p>
    <w:p w:rsidR="003D521F" w:rsidRDefault="007807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w:t>
      </w:r>
    </w:p>
    <w:p w:rsidR="003D521F" w:rsidRDefault="007807CB">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работу муниципальной службы педагогического аудита, обновляя состав муниципальных экспертов через организацию стажировок кандидатов в эксперты.</w:t>
      </w:r>
    </w:p>
    <w:p w:rsidR="003D521F" w:rsidRDefault="007807CB">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Продолжить обучение педагогов по дополнительным образовательным программам “Школа экспертов” и “Экспертиза и рецензирование образовательных продуктов”. </w:t>
      </w:r>
    </w:p>
    <w:p w:rsidR="003D521F" w:rsidRDefault="007807CB">
      <w:pPr>
        <w:numPr>
          <w:ilvl w:val="0"/>
          <w:numId w:val="5"/>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Сформировать резерв педагогов для прохождения оценки предметных и методических компетенций учителей на краевом уровне.</w:t>
      </w:r>
    </w:p>
    <w:p w:rsidR="003D521F" w:rsidRDefault="003D521F">
      <w:pPr>
        <w:spacing w:after="0"/>
        <w:jc w:val="center"/>
        <w:rPr>
          <w:rFonts w:ascii="Times New Roman" w:eastAsia="Times New Roman" w:hAnsi="Times New Roman" w:cs="Times New Roman"/>
          <w:sz w:val="24"/>
          <w:szCs w:val="24"/>
          <w:u w:val="single"/>
        </w:rPr>
      </w:pPr>
    </w:p>
    <w:p w:rsidR="003D521F" w:rsidRDefault="003D521F">
      <w:pPr>
        <w:spacing w:after="0"/>
        <w:jc w:val="center"/>
        <w:rPr>
          <w:rFonts w:ascii="Times New Roman" w:eastAsia="Times New Roman" w:hAnsi="Times New Roman" w:cs="Times New Roman"/>
          <w:sz w:val="24"/>
          <w:szCs w:val="24"/>
          <w:u w:val="single"/>
        </w:rPr>
      </w:pPr>
    </w:p>
    <w:p w:rsidR="003D521F" w:rsidRDefault="003D521F" w:rsidP="00372943">
      <w:pPr>
        <w:spacing w:after="0"/>
        <w:rPr>
          <w:rFonts w:ascii="Times New Roman" w:eastAsia="Times New Roman" w:hAnsi="Times New Roman" w:cs="Times New Roman"/>
          <w:b/>
          <w:sz w:val="24"/>
          <w:szCs w:val="24"/>
          <w:highlight w:val="green"/>
        </w:rPr>
      </w:pPr>
    </w:p>
    <w:p w:rsidR="003D521F" w:rsidRDefault="007807C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По осуществлению методической поддержки молодых педагогов / по реализации системы наставничества</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6.4.1. Доля педагогов в возрасте до 35 лет включительно от общего числа педагогов</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в ОО ЛГО работают </w:t>
      </w:r>
      <w:r>
        <w:rPr>
          <w:rFonts w:ascii="Times New Roman" w:eastAsia="Times New Roman" w:hAnsi="Times New Roman" w:cs="Times New Roman"/>
          <w:b/>
          <w:sz w:val="24"/>
          <w:szCs w:val="24"/>
        </w:rPr>
        <w:t>942</w:t>
      </w:r>
      <w:r>
        <w:rPr>
          <w:rFonts w:ascii="Times New Roman" w:eastAsia="Times New Roman" w:hAnsi="Times New Roman" w:cs="Times New Roman"/>
          <w:sz w:val="24"/>
          <w:szCs w:val="24"/>
        </w:rPr>
        <w:t xml:space="preserve"> педагогических работника. Количество молодых педагогических работников в возрасте до 35 лет (включительно) составляет </w:t>
      </w:r>
      <w:r>
        <w:rPr>
          <w:rFonts w:ascii="Times New Roman" w:eastAsia="Times New Roman" w:hAnsi="Times New Roman" w:cs="Times New Roman"/>
          <w:b/>
          <w:sz w:val="24"/>
          <w:szCs w:val="24"/>
        </w:rPr>
        <w:t>171</w:t>
      </w:r>
      <w:r>
        <w:rPr>
          <w:rFonts w:ascii="Times New Roman" w:eastAsia="Times New Roman" w:hAnsi="Times New Roman" w:cs="Times New Roman"/>
          <w:sz w:val="24"/>
          <w:szCs w:val="24"/>
        </w:rPr>
        <w:t xml:space="preserve"> человек. Сравнение отчётного показателя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с прогнозным значением на 2021 год (</w:t>
      </w: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Муниципальная программа «Реализация механизмов управления качеством образования в </w:t>
      </w:r>
      <w:proofErr w:type="spellStart"/>
      <w:r>
        <w:rPr>
          <w:rFonts w:ascii="Times New Roman" w:eastAsia="Times New Roman" w:hAnsi="Times New Roman" w:cs="Times New Roman"/>
          <w:i/>
          <w:sz w:val="24"/>
          <w:szCs w:val="24"/>
        </w:rPr>
        <w:t>Лысьвенском</w:t>
      </w:r>
      <w:proofErr w:type="spellEnd"/>
      <w:r>
        <w:rPr>
          <w:rFonts w:ascii="Times New Roman" w:eastAsia="Times New Roman" w:hAnsi="Times New Roman" w:cs="Times New Roman"/>
          <w:i/>
          <w:sz w:val="24"/>
          <w:szCs w:val="24"/>
        </w:rPr>
        <w:t xml:space="preserve"> городском округе» утверждена приказом начальника управления образования от 19.07.2021 № 286/01-08</w:t>
      </w:r>
      <w:r>
        <w:rPr>
          <w:rFonts w:ascii="Times New Roman" w:eastAsia="Times New Roman" w:hAnsi="Times New Roman" w:cs="Times New Roman"/>
          <w:sz w:val="24"/>
          <w:szCs w:val="24"/>
        </w:rPr>
        <w:t>) показывает, что коллективы ОО ЛГО недостаточно обновляются молодыми педагогическими кадрами.</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6.4.2. Доля молодых педагогов в возрасте до 35 лет в образовательных организациях, охваченных различными формами методической поддержки и сопровождения в первые три года работы, включая наставничество</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171 педагогического работника до 35 лет (включительно) на институциональном и муниципальном уровнях различными формами методической поддержки и сопровождения в первые три года работы, включая наставничество, охвачены </w:t>
      </w:r>
      <w:r>
        <w:rPr>
          <w:rFonts w:ascii="Times New Roman" w:eastAsia="Times New Roman" w:hAnsi="Times New Roman" w:cs="Times New Roman"/>
          <w:b/>
          <w:sz w:val="24"/>
          <w:szCs w:val="24"/>
        </w:rPr>
        <w:t>132</w:t>
      </w:r>
      <w:r>
        <w:rPr>
          <w:rFonts w:ascii="Times New Roman" w:eastAsia="Times New Roman" w:hAnsi="Times New Roman" w:cs="Times New Roman"/>
          <w:sz w:val="24"/>
          <w:szCs w:val="24"/>
        </w:rPr>
        <w:t xml:space="preserve"> человека. Сравнение отчётного показателя (</w:t>
      </w: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с прогнозным значением на 2021 год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свидетельствует о заинтересованности ОО и муниципалитета в профессиональном росте молодых педагогов.</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методической поддержки педагогических работников до 35 лет (включительно) на базе МАУ ДПО «ЦНМО» с 2021 года была организована работа Школы молодого педагога «Перспектива», участниками которой стали </w:t>
      </w: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человека из ОО ЛГО. Для молодых педагогов были предложены разные формы работы: тренинги, консультации, семинары, </w:t>
      </w:r>
      <w:proofErr w:type="spellStart"/>
      <w:r>
        <w:rPr>
          <w:rFonts w:ascii="Times New Roman" w:eastAsia="Times New Roman" w:hAnsi="Times New Roman" w:cs="Times New Roman"/>
          <w:sz w:val="24"/>
          <w:szCs w:val="24"/>
        </w:rPr>
        <w:t>интенсивы</w:t>
      </w:r>
      <w:proofErr w:type="spellEnd"/>
      <w:r>
        <w:rPr>
          <w:rFonts w:ascii="Times New Roman" w:eastAsia="Times New Roman" w:hAnsi="Times New Roman" w:cs="Times New Roman"/>
          <w:sz w:val="24"/>
          <w:szCs w:val="24"/>
        </w:rPr>
        <w:t xml:space="preserve"> и т.д.</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6.4.3. Доля молодых педагогов в возрасте до 35 лет в образовательных организациях, охваченных различными формами методической поддержки и сопровождения в первые три года работы, получившие первую квалификационную категорию</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132 педагогических работников до 35 лет (включительно), охваченных различными формами методической поддержки и сопровождения в первые три года работы, включая наставничество, первую квалификационную категорию получили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человек из следующих организаций: МБОУ «СОШ № 7», МБДОУ «Детский сад № 11», МАДОУ «Детский сад № 26», МАДОУ "ЦРР-Детский сад №21" МО "ЛГО", МБУДО «ДД(Ю)Т».  Сравнение отчётного показателя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с прогнозным значением на 2021 год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показывает положительную тенденцию в отношении повышения профессионального мастерства молодых педагогов.</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6.4.4. Доля образовательных организаций, реализующих целевую модель наставничества педагогических работников</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Сравнение отчётного показателя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с прогнозным значением на 2021 год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показывает, что ОО ЛГО, кроме МБОУ «СОШ № 16 с УИОП», МАДОУ «Детский сад № 27», МБДОУ «Детский сад № 38», не приступили к реализации целевой модели наставничества, однако работа в данном направлении на муниципальном уровне уже начата: в стадии разработки находится муниципальный проект «Наставник», начало реализации которого запланировано на январь 2022 года.</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6.4.5. Доля школ, управленческие команды которых вовлечены в систему </w:t>
      </w:r>
      <w:proofErr w:type="spellStart"/>
      <w:r>
        <w:rPr>
          <w:rFonts w:ascii="Times New Roman" w:eastAsia="Times New Roman" w:hAnsi="Times New Roman" w:cs="Times New Roman"/>
          <w:sz w:val="24"/>
          <w:szCs w:val="24"/>
          <w:u w:val="single"/>
        </w:rPr>
        <w:t>менторства</w:t>
      </w:r>
      <w:proofErr w:type="spellEnd"/>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Проанализировав данные, полученные от ОО, можно сказать, что ни одна управленческая команда не вовлечена в систему </w:t>
      </w:r>
      <w:proofErr w:type="spellStart"/>
      <w:r>
        <w:rPr>
          <w:rFonts w:ascii="Times New Roman" w:eastAsia="Times New Roman" w:hAnsi="Times New Roman" w:cs="Times New Roman"/>
          <w:sz w:val="24"/>
          <w:szCs w:val="24"/>
        </w:rPr>
        <w:t>менторства</w:t>
      </w:r>
      <w:proofErr w:type="spellEnd"/>
      <w:r>
        <w:rPr>
          <w:rFonts w:ascii="Times New Roman" w:eastAsia="Times New Roman" w:hAnsi="Times New Roman" w:cs="Times New Roman"/>
          <w:sz w:val="24"/>
          <w:szCs w:val="24"/>
        </w:rPr>
        <w:t>.</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6.4.6. Наличие институциональных/муниципальных программ (планов мероприятий) методического сопровождения деятельности педагогов</w:t>
      </w:r>
    </w:p>
    <w:p w:rsidR="003D521F" w:rsidRDefault="007807CB">
      <w:pPr>
        <w:spacing w:before="240" w:after="24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свидетельствует о том, что в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ОО ЛГО (</w:t>
      </w:r>
      <w:r>
        <w:rPr>
          <w:rFonts w:ascii="Times New Roman" w:eastAsia="Times New Roman" w:hAnsi="Times New Roman" w:cs="Times New Roman"/>
          <w:b/>
          <w:sz w:val="24"/>
          <w:szCs w:val="24"/>
        </w:rPr>
        <w:t>76%</w:t>
      </w:r>
      <w:r>
        <w:rPr>
          <w:rFonts w:ascii="Times New Roman" w:eastAsia="Times New Roman" w:hAnsi="Times New Roman" w:cs="Times New Roman"/>
          <w:sz w:val="24"/>
          <w:szCs w:val="24"/>
        </w:rPr>
        <w:t xml:space="preserve">) из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имеются программы (планы мероприятий) методического сопровождения деятельности молодых педагогов. Таких документов нет в следующих организациях: МАОУ «СОШ № 3», МБУДО «ДД(Ю)Т», МБУ ДО «ДШИ», МАУ ДПО «ЦНМО». На муниципальном уровне имеется план работы Школы молодого педагога.</w:t>
      </w:r>
    </w:p>
    <w:p w:rsidR="003D521F" w:rsidRDefault="007807C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Работа с молодыми педагогическими кадрами ведётся на институциональном и муниципальном уровнях через методические объединения и проекты на базе ОО, Школу молодого педагога «Перспектива» (муниципалитет).</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Выстраивается система наставничества в рамках муниципального проекта «Наставник».</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w:t>
      </w:r>
      <w:proofErr w:type="spellStart"/>
      <w:r>
        <w:rPr>
          <w:rFonts w:ascii="Times New Roman" w:eastAsia="Times New Roman" w:hAnsi="Times New Roman" w:cs="Times New Roman"/>
          <w:sz w:val="24"/>
          <w:szCs w:val="24"/>
        </w:rPr>
        <w:t>менторства</w:t>
      </w:r>
      <w:proofErr w:type="spellEnd"/>
      <w:r>
        <w:rPr>
          <w:rFonts w:ascii="Times New Roman" w:eastAsia="Times New Roman" w:hAnsi="Times New Roman" w:cs="Times New Roman"/>
          <w:sz w:val="24"/>
          <w:szCs w:val="24"/>
        </w:rPr>
        <w:t xml:space="preserve"> на территории ЛГО не создана.</w:t>
      </w:r>
    </w:p>
    <w:p w:rsidR="003D521F" w:rsidRDefault="007807C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Продолжить работу по привлечению молодых педагогических кадров на территорию ЛГО, содействовать адаптации и профессиональному росту молодых педагогов через системное методическое сопровождение на институциональном и муниципальном уровнях.</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Утвердить муниципальный проект «Наставник» на заседании городского экспертно-методического совета (ГЭМС), вовлечь образовательные организации территории в работу проекта.</w:t>
      </w:r>
    </w:p>
    <w:p w:rsidR="003D521F" w:rsidRDefault="007807C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Продумать возможность обучения управленческих команд и ознакомления с успешным опытом других территорий по направлению «</w:t>
      </w:r>
      <w:proofErr w:type="spellStart"/>
      <w:r>
        <w:rPr>
          <w:rFonts w:ascii="Times New Roman" w:eastAsia="Times New Roman" w:hAnsi="Times New Roman" w:cs="Times New Roman"/>
          <w:sz w:val="24"/>
          <w:szCs w:val="24"/>
        </w:rPr>
        <w:t>Менторство</w:t>
      </w:r>
      <w:proofErr w:type="spellEnd"/>
      <w:r>
        <w:rPr>
          <w:rFonts w:ascii="Times New Roman" w:eastAsia="Times New Roman" w:hAnsi="Times New Roman" w:cs="Times New Roman"/>
          <w:sz w:val="24"/>
          <w:szCs w:val="24"/>
        </w:rPr>
        <w:t>».</w:t>
      </w:r>
    </w:p>
    <w:p w:rsidR="003D521F" w:rsidRDefault="003D521F">
      <w:pPr>
        <w:spacing w:before="240" w:after="240" w:line="276" w:lineRule="auto"/>
        <w:jc w:val="both"/>
        <w:rPr>
          <w:rFonts w:ascii="Times New Roman" w:eastAsia="Times New Roman" w:hAnsi="Times New Roman" w:cs="Times New Roman"/>
          <w:sz w:val="24"/>
          <w:szCs w:val="24"/>
        </w:rPr>
      </w:pPr>
    </w:p>
    <w:p w:rsidR="003D521F" w:rsidRDefault="007807C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Реализация сете</w:t>
      </w:r>
      <w:r w:rsidR="00372943">
        <w:rPr>
          <w:rFonts w:ascii="Times New Roman" w:eastAsia="Times New Roman" w:hAnsi="Times New Roman" w:cs="Times New Roman"/>
          <w:b/>
          <w:sz w:val="24"/>
          <w:szCs w:val="24"/>
        </w:rPr>
        <w:t>вого взаимодействия педагогов (</w:t>
      </w:r>
      <w:r>
        <w:rPr>
          <w:rFonts w:ascii="Times New Roman" w:eastAsia="Times New Roman" w:hAnsi="Times New Roman" w:cs="Times New Roman"/>
          <w:b/>
          <w:sz w:val="24"/>
          <w:szCs w:val="24"/>
        </w:rPr>
        <w:t>методических объединений, профессиональных сообществ педагогов)</w:t>
      </w:r>
    </w:p>
    <w:p w:rsidR="003D521F" w:rsidRDefault="007807CB">
      <w:pPr>
        <w:spacing w:before="240" w:after="24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6.5.1. и 6.5.2. Доля педагогов, включенных в сетевые педагогические сообщества, методические объединения, в том числе в Сетевое сообщество педагогов Пермского края (федеральный и краевой и муниципальный уровни)</w:t>
      </w:r>
    </w:p>
    <w:p w:rsidR="003D521F" w:rsidRDefault="007807CB">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Одной из активных современных форм повышения квалификации педагогов является их участие в работе различных методических формированиях.</w:t>
      </w:r>
    </w:p>
    <w:p w:rsidR="003D521F" w:rsidRDefault="007807CB">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показатель анализируется с сентября 2021 года.</w:t>
      </w:r>
    </w:p>
    <w:p w:rsidR="003D521F" w:rsidRDefault="007807C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 2021-2022 учебном году на территории Лысьвенского городского округа создано 42 методических объединения: предметные, тематические, для библиотечных специалистов и для узких специалистов. Причем, подавляющее большинство педагогов участвуют в предметных ГМФ (55,3% от общего количества педагогов, включённых в сетевые педагогические сообщества, методические объединения на муниципальном уровне), 100% педагогов- библиотекарей, 100% узких специалистов, 18% педагогов принимают участие в работе тематических ГМФ.</w:t>
      </w:r>
    </w:p>
    <w:p w:rsidR="003D521F" w:rsidRDefault="007807CB" w:rsidP="00372943">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включенных в сетевые педагогические сообщества, методические объединения, в том числе в Сетевое сообщество педагогов Пермского края (федеральный и краевой уровни) составляет 212 человек (21%).</w:t>
      </w:r>
    </w:p>
    <w:p w:rsidR="003D521F" w:rsidRDefault="007807CB">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отчётных показателей с прогнозными значениями показывает положительную тенденцию к перевыполн</w:t>
      </w:r>
      <w:r w:rsidR="00372943">
        <w:rPr>
          <w:rFonts w:ascii="Times New Roman" w:eastAsia="Times New Roman" w:hAnsi="Times New Roman" w:cs="Times New Roman"/>
          <w:sz w:val="24"/>
          <w:szCs w:val="24"/>
        </w:rPr>
        <w:t xml:space="preserve">ению показателя </w:t>
      </w:r>
      <w:r>
        <w:rPr>
          <w:rFonts w:ascii="Times New Roman" w:eastAsia="Times New Roman" w:hAnsi="Times New Roman" w:cs="Times New Roman"/>
          <w:sz w:val="24"/>
          <w:szCs w:val="24"/>
        </w:rPr>
        <w:t>(10%).</w:t>
      </w:r>
    </w:p>
    <w:p w:rsidR="003D521F" w:rsidRDefault="003D521F" w:rsidP="008E1B6E">
      <w:pPr>
        <w:spacing w:before="240" w:after="240" w:line="276" w:lineRule="auto"/>
        <w:rPr>
          <w:rFonts w:ascii="Times New Roman" w:eastAsia="Times New Roman" w:hAnsi="Times New Roman" w:cs="Times New Roman"/>
          <w:sz w:val="24"/>
          <w:szCs w:val="24"/>
          <w:u w:val="single"/>
        </w:rPr>
      </w:pPr>
    </w:p>
    <w:p w:rsidR="003D521F" w:rsidRPr="00CC15A4" w:rsidRDefault="007807CB" w:rsidP="008E1B6E">
      <w:pPr>
        <w:spacing w:after="0" w:line="276" w:lineRule="auto"/>
        <w:jc w:val="center"/>
        <w:rPr>
          <w:rFonts w:ascii="Times New Roman" w:eastAsia="Times New Roman" w:hAnsi="Times New Roman" w:cs="Times New Roman"/>
          <w:b/>
          <w:sz w:val="24"/>
          <w:szCs w:val="24"/>
        </w:rPr>
      </w:pPr>
      <w:r w:rsidRPr="00CC15A4">
        <w:rPr>
          <w:rFonts w:ascii="Times New Roman" w:eastAsia="Times New Roman" w:hAnsi="Times New Roman" w:cs="Times New Roman"/>
          <w:b/>
          <w:sz w:val="24"/>
          <w:szCs w:val="24"/>
        </w:rPr>
        <w:t xml:space="preserve"> 6.6 По выявлению кадровых потребностей</w:t>
      </w:r>
    </w:p>
    <w:p w:rsidR="003D521F" w:rsidRDefault="007807CB" w:rsidP="008E1B6E">
      <w:pPr>
        <w:spacing w:after="0" w:line="27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6.6.1.Доля педагогических вакансий в образовательных организациях </w:t>
      </w:r>
    </w:p>
    <w:p w:rsidR="003D521F" w:rsidRDefault="007807CB" w:rsidP="008E1B6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данным специалистов управления образованием ЛГО на ноябрь 2021 года доля педагогических вакансий в образовательных организациях составляет 1% (10 вакансий). Это свидетельствует о достижении прогнозного значения (2%). </w:t>
      </w:r>
    </w:p>
    <w:p w:rsidR="003D521F" w:rsidRDefault="007807CB" w:rsidP="008E1B6E">
      <w:pPr>
        <w:spacing w:after="0" w:line="276" w:lineRule="auto"/>
        <w:jc w:val="center"/>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6.6.2. Доля педагогических работников образовательных организаций пенсионного возраста</w:t>
      </w:r>
    </w:p>
    <w:p w:rsidR="003D521F" w:rsidRDefault="007807CB" w:rsidP="008E1B6E">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отчетного показателя (22%, 210 человек) с прогнозным значением (20%) показывает сохранение доли педагогов </w:t>
      </w:r>
      <w:proofErr w:type="spellStart"/>
      <w:r>
        <w:rPr>
          <w:rFonts w:ascii="Times New Roman" w:eastAsia="Times New Roman" w:hAnsi="Times New Roman" w:cs="Times New Roman"/>
          <w:sz w:val="24"/>
          <w:szCs w:val="24"/>
        </w:rPr>
        <w:t>предпенсионного</w:t>
      </w:r>
      <w:proofErr w:type="spellEnd"/>
      <w:r>
        <w:rPr>
          <w:rFonts w:ascii="Times New Roman" w:eastAsia="Times New Roman" w:hAnsi="Times New Roman" w:cs="Times New Roman"/>
          <w:sz w:val="24"/>
          <w:szCs w:val="24"/>
        </w:rPr>
        <w:t xml:space="preserve"> и пенсионного возраста. Планируется выполнение данного показателя к концу 2022 года.</w:t>
      </w:r>
    </w:p>
    <w:p w:rsidR="003D521F" w:rsidRDefault="007807CB" w:rsidP="008E1B6E">
      <w:pPr>
        <w:spacing w:after="0" w:line="276" w:lineRule="auto"/>
        <w:jc w:val="center"/>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6.6.3. Доля педагогических работников образовательных организаций, имеющих внутреннее и(или) внешнее совместительство</w:t>
      </w:r>
    </w:p>
    <w:p w:rsidR="003D521F" w:rsidRDefault="007807CB" w:rsidP="008E1B6E">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втором полугодии 2021 года доля педагогических работников образовательных организаций, имеющих внутреннее и (или) внешнее совместительство - 227 человек, что составило 24%. Сравнение данного показателя с прогнозным значением выявляет некоторую разницу и требует решения данного вопроса.  </w:t>
      </w:r>
    </w:p>
    <w:p w:rsidR="003D521F" w:rsidRDefault="003D521F" w:rsidP="008E1B6E">
      <w:pPr>
        <w:spacing w:after="0" w:line="276" w:lineRule="auto"/>
        <w:jc w:val="both"/>
        <w:rPr>
          <w:rFonts w:ascii="Times New Roman" w:eastAsia="Times New Roman" w:hAnsi="Times New Roman" w:cs="Times New Roman"/>
          <w:sz w:val="24"/>
          <w:szCs w:val="24"/>
          <w:u w:val="single"/>
        </w:rPr>
      </w:pPr>
    </w:p>
    <w:p w:rsidR="003D521F" w:rsidRDefault="003D521F" w:rsidP="008E1B6E">
      <w:pPr>
        <w:spacing w:after="0" w:line="276" w:lineRule="auto"/>
        <w:jc w:val="both"/>
        <w:rPr>
          <w:rFonts w:ascii="Times New Roman" w:eastAsia="Times New Roman" w:hAnsi="Times New Roman" w:cs="Times New Roman"/>
          <w:sz w:val="24"/>
          <w:szCs w:val="24"/>
          <w:u w:val="single"/>
        </w:rPr>
      </w:pPr>
    </w:p>
    <w:p w:rsidR="003D521F" w:rsidRDefault="007807CB" w:rsidP="008E1B6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Модернизация системы научно-методического сопровождения профессионального развития педагогических и руководящих работников ЛГО в соответствии с Концепцией региональной системы осуществляется на основе диагностики профессиональных потребностей, обновления содержательного контента и форм организации различных образовательных и конкурсных мероприятий, мероприятий по </w:t>
      </w:r>
      <w:r>
        <w:rPr>
          <w:rFonts w:ascii="Times New Roman" w:eastAsia="Times New Roman" w:hAnsi="Times New Roman" w:cs="Times New Roman"/>
          <w:sz w:val="24"/>
          <w:szCs w:val="24"/>
        </w:rPr>
        <w:lastRenderedPageBreak/>
        <w:t>диссеминации педагогического опыта, пополнения банка дополнительных профессиональных программ повышения квалификации, использования краевых и федеральных ресурсов для реализации индивидуальных образовательных маршрутов педагогов. Э</w:t>
      </w:r>
      <w:r w:rsidR="00CC15A4">
        <w:rPr>
          <w:rFonts w:ascii="Times New Roman" w:eastAsia="Times New Roman" w:hAnsi="Times New Roman" w:cs="Times New Roman"/>
          <w:sz w:val="24"/>
          <w:szCs w:val="24"/>
        </w:rPr>
        <w:t xml:space="preserve">то позволяет более качественно </w:t>
      </w:r>
      <w:r>
        <w:rPr>
          <w:rFonts w:ascii="Times New Roman" w:eastAsia="Times New Roman" w:hAnsi="Times New Roman" w:cs="Times New Roman"/>
          <w:sz w:val="24"/>
          <w:szCs w:val="24"/>
        </w:rPr>
        <w:t xml:space="preserve">оказывать адресную методическую помощь педагогам и управленцам. </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Вовлечение педагогических работников и управленческих кадров в экспертную деятельность осуществляется через конкурсное движение, содействие получению педагогами статуса эксперта метапредметных конкурсов и олимпиад Пермского края и вхождению в региональный методический актив. Также работа ведётся через организацию деятельности муниципальной службы педагогического аудита. </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молодых педагогов в возрасте до 35 лет охвачены различными формами методической поддержки и сопровождения на муниципальн</w:t>
      </w:r>
      <w:r w:rsidR="00CC15A4">
        <w:rPr>
          <w:rFonts w:ascii="Times New Roman" w:eastAsia="Times New Roman" w:hAnsi="Times New Roman" w:cs="Times New Roman"/>
          <w:sz w:val="24"/>
          <w:szCs w:val="24"/>
        </w:rPr>
        <w:t xml:space="preserve">ом и институциональном уровне: </w:t>
      </w:r>
      <w:r>
        <w:rPr>
          <w:rFonts w:ascii="Times New Roman" w:eastAsia="Times New Roman" w:hAnsi="Times New Roman" w:cs="Times New Roman"/>
          <w:sz w:val="24"/>
          <w:szCs w:val="24"/>
        </w:rPr>
        <w:t xml:space="preserve">Школа молодого педагога, тренинги, </w:t>
      </w:r>
      <w:proofErr w:type="spellStart"/>
      <w:r>
        <w:rPr>
          <w:rFonts w:ascii="Times New Roman" w:eastAsia="Times New Roman" w:hAnsi="Times New Roman" w:cs="Times New Roman"/>
          <w:sz w:val="24"/>
          <w:szCs w:val="24"/>
        </w:rPr>
        <w:t>интенсивы</w:t>
      </w:r>
      <w:proofErr w:type="spellEnd"/>
      <w:r>
        <w:rPr>
          <w:rFonts w:ascii="Times New Roman" w:eastAsia="Times New Roman" w:hAnsi="Times New Roman" w:cs="Times New Roman"/>
          <w:sz w:val="24"/>
          <w:szCs w:val="24"/>
        </w:rPr>
        <w:t>, консультации, мастер-классы и т.д.</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Начата работа по реализации целевой модели наставничества, в стадии разработки находится муниципальный проект «Наставник», начало реализации которого запланировано на январь 2022 года.</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организация работы по направлению “</w:t>
      </w:r>
      <w:proofErr w:type="spellStart"/>
      <w:r>
        <w:rPr>
          <w:rFonts w:ascii="Times New Roman" w:eastAsia="Times New Roman" w:hAnsi="Times New Roman" w:cs="Times New Roman"/>
          <w:sz w:val="24"/>
          <w:szCs w:val="24"/>
        </w:rPr>
        <w:t>Менторство</w:t>
      </w:r>
      <w:proofErr w:type="spellEnd"/>
      <w:r>
        <w:rPr>
          <w:rFonts w:ascii="Times New Roman" w:eastAsia="Times New Roman" w:hAnsi="Times New Roman" w:cs="Times New Roman"/>
          <w:sz w:val="24"/>
          <w:szCs w:val="24"/>
        </w:rPr>
        <w:t>”.</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Сетевое взаимодействие педагогов на муниципальном уровне осуществляется в основном в рамках ГМФ. Необходимо расширять формы сетевых сообществ.</w:t>
      </w:r>
    </w:p>
    <w:p w:rsidR="003D521F" w:rsidRDefault="007807CB" w:rsidP="008E1B6E">
      <w:pPr>
        <w:numPr>
          <w:ilvl w:val="0"/>
          <w:numId w:val="7"/>
        </w:numPr>
        <w:spacing w:after="0" w:line="276"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выявлению кадровых потребностей и привлечению специалистов ведется на недостаточном уровне.</w:t>
      </w:r>
    </w:p>
    <w:p w:rsidR="003D521F" w:rsidRDefault="003D521F" w:rsidP="008E1B6E">
      <w:pPr>
        <w:spacing w:after="0" w:line="276" w:lineRule="auto"/>
        <w:jc w:val="both"/>
        <w:rPr>
          <w:rFonts w:ascii="Times New Roman" w:eastAsia="Times New Roman" w:hAnsi="Times New Roman" w:cs="Times New Roman"/>
          <w:b/>
          <w:sz w:val="24"/>
          <w:szCs w:val="24"/>
        </w:rPr>
      </w:pPr>
    </w:p>
    <w:p w:rsidR="003D521F" w:rsidRDefault="007807CB" w:rsidP="008E1B6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взаимодействие с региональным Центром оценки профессионального мастерства и квалификации педагогов (ЦОПМКП) с целью вовлечения педагогических работников ЛГО в региональные оценочные мероприятия, направленные на выявление профессиональных дефицитов.</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Продумать систему оперативного информирования педагогических и руководящих работников ЛГО о дополнительных профессиональных программах, вошедших в Федеральный реестр дополнительных профессиональных программ (ФР ДПП). </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Продумать систему отслеживания количества педагогических работников ЛГО, прошедших обучение по дополнительным профессиональным программам повышения квалификации, включённым в ФР ДПП.</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 адаптации и профессиональному росту молодых педагогов через системное методическое сопровождение на институциональном и муниципальном уровнях.</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резерв педагогов ЛГО для прохождения оценки предметных и методических компетенций учителей на краевом уровне.</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Обеспечить внедрение целевой модели наставничества в ОО ЛГО. </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Содействовать вовлечению педагогов в сетевое взаимодействие на муниципальном, региональном и федеральном уровнях. </w:t>
      </w:r>
    </w:p>
    <w:p w:rsidR="003D521F" w:rsidRDefault="007807CB" w:rsidP="008E1B6E">
      <w:pPr>
        <w:numPr>
          <w:ilvl w:val="0"/>
          <w:numId w:val="8"/>
        </w:numPr>
        <w:spacing w:after="0" w:line="276"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Управлению образования взять на особый контроль работу по выявлению кадровых потребностей и привлечению специалистов.</w:t>
      </w:r>
    </w:p>
    <w:sectPr w:rsidR="003D521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098"/>
    <w:multiLevelType w:val="multilevel"/>
    <w:tmpl w:val="96BAF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E2632"/>
    <w:multiLevelType w:val="multilevel"/>
    <w:tmpl w:val="0B66C1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F24EF"/>
    <w:multiLevelType w:val="multilevel"/>
    <w:tmpl w:val="4D2E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C816F6"/>
    <w:multiLevelType w:val="hybridMultilevel"/>
    <w:tmpl w:val="34B6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733B5"/>
    <w:multiLevelType w:val="multilevel"/>
    <w:tmpl w:val="AB9A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11B56"/>
    <w:multiLevelType w:val="multilevel"/>
    <w:tmpl w:val="BDC0F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392D35"/>
    <w:multiLevelType w:val="multilevel"/>
    <w:tmpl w:val="233AC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65370A"/>
    <w:multiLevelType w:val="multilevel"/>
    <w:tmpl w:val="852ED0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191519"/>
    <w:multiLevelType w:val="hybridMultilevel"/>
    <w:tmpl w:val="AED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46199F"/>
    <w:multiLevelType w:val="multilevel"/>
    <w:tmpl w:val="5DD05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
  </w:num>
  <w:num w:numId="4">
    <w:abstractNumId w:val="9"/>
  </w:num>
  <w:num w:numId="5">
    <w:abstractNumId w:val="6"/>
  </w:num>
  <w:num w:numId="6">
    <w:abstractNumId w:val="4"/>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1F"/>
    <w:rsid w:val="00372943"/>
    <w:rsid w:val="003D521F"/>
    <w:rsid w:val="00485BE2"/>
    <w:rsid w:val="004D30B4"/>
    <w:rsid w:val="005B7355"/>
    <w:rsid w:val="00664A74"/>
    <w:rsid w:val="007807CB"/>
    <w:rsid w:val="007938B9"/>
    <w:rsid w:val="008100CB"/>
    <w:rsid w:val="008E1B6E"/>
    <w:rsid w:val="00CC15A4"/>
    <w:rsid w:val="00CF48A6"/>
    <w:rsid w:val="00DB0CD1"/>
    <w:rsid w:val="00F12B16"/>
    <w:rsid w:val="00F634B1"/>
    <w:rsid w:val="00FA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87BB9-5F0C-4933-BF0D-FB4E99F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85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9308D"/>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af1">
    <w:name w:val="Hyperlink"/>
    <w:basedOn w:val="a0"/>
    <w:uiPriority w:val="99"/>
    <w:unhideWhenUsed/>
    <w:rsid w:val="00CF48A6"/>
    <w:rPr>
      <w:color w:val="0563C1" w:themeColor="hyperlink"/>
      <w:u w:val="single"/>
    </w:rPr>
  </w:style>
  <w:style w:type="table" w:customStyle="1" w:styleId="10">
    <w:name w:val="Сетка таблицы1"/>
    <w:basedOn w:val="a1"/>
    <w:next w:val="a4"/>
    <w:uiPriority w:val="39"/>
    <w:rsid w:val="007807C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39"/>
    <w:rsid w:val="00485BE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permkrai.ru/dokumenty/73351/?sphrase_id=139451" TargetMode="External"/><Relationship Id="rId13" Type="http://schemas.openxmlformats.org/officeDocument/2006/relationships/hyperlink" Target="https://minobr.permkrai.ru/upload/iblock/c1a/c8mx2hbxpuvfc4wq0xsu7v3108972ny8.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minobr.permkrai.ru/dokumenty/41057/?sphrase_id=139450" TargetMode="External"/><Relationship Id="rId12" Type="http://schemas.openxmlformats.org/officeDocument/2006/relationships/hyperlink" Target="https://lysva.biz/uploads/files/2021/03.2021/&#1043;&#1052;&#1052;&#1052;_&#1087;&#1088;&#1080;&#1082;&#1072;&#1079;_&#1078;&#1102;&#1088;&#1080;_&#1084;&#1077;&#1090;&#1072;&#1087;&#1088;&#1077;&#1076;&#1084;&#1077;&#1090;&#1085;&#1072;&#1103;_&#1086;&#1083;&#1080;&#1084;&#1087;&#1080;&#1072;&#1076;&#1072;_compressed_39b71.pdf" TargetMode="External"/><Relationship Id="rId17" Type="http://schemas.openxmlformats.org/officeDocument/2006/relationships/hyperlink" Target="https://lysva.biz/uploads/files/2022/01.2022/otchet_o_rabote_b115b.pdf" TargetMode="External"/><Relationship Id="rId2" Type="http://schemas.openxmlformats.org/officeDocument/2006/relationships/customXml" Target="../customXml/item2.xml"/><Relationship Id="rId16" Type="http://schemas.openxmlformats.org/officeDocument/2006/relationships/hyperlink" Target="https://lysva.biz/uploads/files/2022/01.2022/reestr_SPA_5669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ysva.biz/uploads/files/2021/01.2021/&#1055;&#1088;&#1080;&#1082;&#1072;&#1079;__2_&#1055;&#1086;&#1083;&#1086;&#1078;&#1077;&#1085;&#1080;&#1077;&#1050;&#1088;&#1080;&#1090;&#1077;&#1088;&#1080;&#1080;_4c7f7.pdf" TargetMode="External"/><Relationship Id="rId5" Type="http://schemas.openxmlformats.org/officeDocument/2006/relationships/settings" Target="settings.xml"/><Relationship Id="rId15" Type="http://schemas.openxmlformats.org/officeDocument/2006/relationships/hyperlink" Target="https://minobr.permkrai.ru/upload/iblock/214/37sb1xc2qjyk7erkh32517rgy2tecfvz.pdf" TargetMode="External"/><Relationship Id="rId10" Type="http://schemas.openxmlformats.org/officeDocument/2006/relationships/hyperlink" Target="https://minobr.permkrai.ru/dokumenty/151212/?sphrase_id=13945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inobr.permkrai.ru/dokumenty/143505/?sphrase_id=139455" TargetMode="External"/><Relationship Id="rId14" Type="http://schemas.openxmlformats.org/officeDocument/2006/relationships/hyperlink" Target="https://minobr.permkrai.ru/upload/iblock/e9a/pueowno6eqzkoi1eaw5dqlvh6ocd7ry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FpZwZGgSir/XoB/zujN6FzNBg==">AMUW2mUHE8VPSs64loyxoGXMzK79mVX6Sxh8Pyjh1/RbXfwlYcQcfL8V1qIjkjPNbp3/Rqp74DhOfB/IvZK+rwaEi9YmcOnar6D1LEjLO0xbD7lI//MZIFVqimcRREk18YEkT8X4ofhD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C4A220-9C66-4BAC-AA4D-21AC8365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5027</Words>
  <Characters>28656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2022-03-05T07:08:00Z</dcterms:created>
  <dcterms:modified xsi:type="dcterms:W3CDTF">2022-04-06T03:15:00Z</dcterms:modified>
</cp:coreProperties>
</file>